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A5F6" w14:textId="7B42B17C" w:rsidR="00D76842" w:rsidRDefault="00D76842" w:rsidP="00D76842">
      <w:pPr>
        <w:pStyle w:val="1"/>
        <w:jc w:val="center"/>
      </w:pPr>
      <w:r w:rsidRPr="001746C4">
        <w:t xml:space="preserve">Особенности формирования учетной политики учреждений на </w:t>
      </w:r>
      <w:r w:rsidRPr="00F14869">
        <w:t>202</w:t>
      </w:r>
      <w:r w:rsidR="006067E3">
        <w:t>2</w:t>
      </w:r>
      <w:r>
        <w:t xml:space="preserve"> </w:t>
      </w:r>
      <w:r w:rsidRPr="001746C4">
        <w:t xml:space="preserve">год </w:t>
      </w:r>
      <w:r w:rsidR="00866713">
        <w:t>(в том числе при централизации учетных процедур)</w:t>
      </w:r>
    </w:p>
    <w:p w14:paraId="08C5AABD" w14:textId="7A779347" w:rsidR="002A3777" w:rsidRPr="002A3777" w:rsidRDefault="002A3777" w:rsidP="002A3777">
      <w:pPr>
        <w:jc w:val="both"/>
      </w:pPr>
      <w:r>
        <w:t>При формировании учетной политики в 202</w:t>
      </w:r>
      <w:r w:rsidR="006067E3">
        <w:t>2</w:t>
      </w:r>
      <w:r>
        <w:t xml:space="preserve"> необходимо учитывать положения федеральных стандартов, а также изменения во все Инструкции по учету. </w:t>
      </w:r>
      <w:r w:rsidRPr="002A3777">
        <w:rPr>
          <w:b/>
          <w:bCs/>
          <w:u w:val="single"/>
        </w:rPr>
        <w:t>Отдельно следует рассмотреть требования к учетной политики для централизации учета</w:t>
      </w:r>
      <w:r>
        <w:t xml:space="preserve">. </w:t>
      </w:r>
      <w:r w:rsidRPr="001746C4">
        <w:rPr>
          <w:rFonts w:eastAsia="Times New Roman" w:cstheme="minorHAnsi"/>
          <w:lang w:eastAsia="ru-RU"/>
        </w:rPr>
        <w:t>Семинар предназначен для главных бухгалтеров учреждений всех типов</w:t>
      </w:r>
      <w:r>
        <w:rPr>
          <w:rFonts w:eastAsia="Times New Roman" w:cstheme="minorHAnsi"/>
          <w:lang w:eastAsia="ru-RU"/>
        </w:rPr>
        <w:t>, а также специалистов централизованных бухгалтерий</w:t>
      </w:r>
      <w:r w:rsidRPr="001746C4">
        <w:rPr>
          <w:rFonts w:eastAsia="Times New Roman" w:cstheme="minorHAnsi"/>
          <w:lang w:eastAsia="ru-RU"/>
        </w:rPr>
        <w:t>. По результатам семинара предоставляется образец учетной политики для бюджетных</w:t>
      </w:r>
      <w:r>
        <w:rPr>
          <w:rFonts w:eastAsia="Times New Roman" w:cstheme="minorHAnsi"/>
          <w:lang w:eastAsia="ru-RU"/>
        </w:rPr>
        <w:t xml:space="preserve"> (</w:t>
      </w:r>
      <w:r w:rsidRPr="001746C4">
        <w:rPr>
          <w:rFonts w:eastAsia="Times New Roman" w:cstheme="minorHAnsi"/>
          <w:lang w:eastAsia="ru-RU"/>
        </w:rPr>
        <w:t>автономных</w:t>
      </w:r>
      <w:r>
        <w:rPr>
          <w:rFonts w:eastAsia="Times New Roman" w:cstheme="minorHAnsi"/>
          <w:lang w:eastAsia="ru-RU"/>
        </w:rPr>
        <w:t xml:space="preserve">) </w:t>
      </w:r>
      <w:r w:rsidRPr="001746C4">
        <w:rPr>
          <w:rFonts w:eastAsia="Times New Roman" w:cstheme="minorHAnsi"/>
          <w:lang w:eastAsia="ru-RU"/>
        </w:rPr>
        <w:t>и казенных учреждений</w:t>
      </w:r>
      <w:r>
        <w:rPr>
          <w:rFonts w:eastAsia="Times New Roman" w:cstheme="minorHAnsi"/>
          <w:lang w:eastAsia="ru-RU"/>
        </w:rPr>
        <w:t xml:space="preserve">. </w:t>
      </w:r>
    </w:p>
    <w:p w14:paraId="49C0BF15" w14:textId="77777777" w:rsidR="00D76842" w:rsidRDefault="00D76842" w:rsidP="00D76842">
      <w:pPr>
        <w:pStyle w:val="a3"/>
        <w:ind w:left="360"/>
        <w:jc w:val="both"/>
        <w:rPr>
          <w:b/>
        </w:rPr>
      </w:pPr>
    </w:p>
    <w:p w14:paraId="17728FC9" w14:textId="29B617EE" w:rsidR="00D76842" w:rsidRDefault="00D76842" w:rsidP="00D76842">
      <w:pPr>
        <w:pStyle w:val="a3"/>
        <w:numPr>
          <w:ilvl w:val="0"/>
          <w:numId w:val="1"/>
        </w:numPr>
        <w:jc w:val="both"/>
        <w:rPr>
          <w:b/>
        </w:rPr>
      </w:pPr>
      <w:r w:rsidRPr="00DD161A">
        <w:rPr>
          <w:b/>
        </w:rPr>
        <w:t>Место и роль учетной политики в регулировании учета в учреждениях государственного сектора</w:t>
      </w:r>
    </w:p>
    <w:p w14:paraId="2102DCA6" w14:textId="77777777" w:rsidR="00D76842" w:rsidRPr="00DD161A" w:rsidRDefault="00D76842" w:rsidP="00D76842">
      <w:pPr>
        <w:pStyle w:val="a3"/>
        <w:ind w:left="360"/>
        <w:jc w:val="both"/>
        <w:rPr>
          <w:b/>
        </w:rPr>
      </w:pPr>
    </w:p>
    <w:p w14:paraId="05D7A2DA" w14:textId="28329CB0" w:rsidR="00D76842" w:rsidRDefault="00D76842" w:rsidP="00D76842">
      <w:pPr>
        <w:pStyle w:val="a3"/>
        <w:numPr>
          <w:ilvl w:val="1"/>
          <w:numId w:val="1"/>
        </w:numPr>
        <w:jc w:val="both"/>
      </w:pPr>
      <w:r w:rsidRPr="00DD161A">
        <w:t xml:space="preserve">Нормативно-правовая база формирования учетной политики государственного (муниципального) учреждения: требования Федерального закона № 402-ФЗ «О бухгалтерском учете» и </w:t>
      </w:r>
      <w:r w:rsidR="002A3777">
        <w:t>СГС</w:t>
      </w:r>
      <w:r w:rsidRPr="00DD161A">
        <w:t xml:space="preserve"> «Концептуальные основы бухгалтерского учета и отчетности организаций государственного сектора»</w:t>
      </w:r>
    </w:p>
    <w:p w14:paraId="3C8F30CE" w14:textId="2393CF22" w:rsidR="00D76842" w:rsidRDefault="00D76842" w:rsidP="00D76842">
      <w:pPr>
        <w:pStyle w:val="a3"/>
        <w:numPr>
          <w:ilvl w:val="1"/>
          <w:numId w:val="1"/>
        </w:numPr>
        <w:jc w:val="both"/>
      </w:pPr>
      <w:r w:rsidRPr="00DD161A">
        <w:t>Организационный и методический раздел учетной полити</w:t>
      </w:r>
      <w:r>
        <w:t xml:space="preserve">ки учреждения; требования к составу и структуре учетной политики </w:t>
      </w:r>
    </w:p>
    <w:p w14:paraId="5C501DBC" w14:textId="47D66ACF" w:rsidR="00D76842" w:rsidRDefault="002A3777" w:rsidP="00D76842">
      <w:pPr>
        <w:pStyle w:val="a3"/>
        <w:numPr>
          <w:ilvl w:val="1"/>
          <w:numId w:val="1"/>
        </w:numPr>
        <w:jc w:val="both"/>
      </w:pPr>
      <w:r>
        <w:t>СГС</w:t>
      </w:r>
      <w:r w:rsidR="00D76842" w:rsidRPr="00DD161A">
        <w:t xml:space="preserve"> «Учетная политика, оценочные значения и ошибки». Общие подходы к формированию и утверждению учетной политики учреждения</w:t>
      </w:r>
    </w:p>
    <w:p w14:paraId="08919968" w14:textId="77777777" w:rsidR="00D76842" w:rsidRPr="002A3777" w:rsidRDefault="00D76842" w:rsidP="00D76842">
      <w:pPr>
        <w:pStyle w:val="a3"/>
        <w:numPr>
          <w:ilvl w:val="1"/>
          <w:numId w:val="1"/>
        </w:numPr>
        <w:jc w:val="both"/>
        <w:rPr>
          <w:b/>
          <w:bCs/>
          <w:u w:val="single"/>
        </w:rPr>
      </w:pPr>
      <w:r w:rsidRPr="002A3777">
        <w:rPr>
          <w:b/>
          <w:bCs/>
          <w:u w:val="single"/>
        </w:rPr>
        <w:t xml:space="preserve">Особенности формирования учетной политики в случае, если учреждение обслуживается в централизованной бухгалтерии </w:t>
      </w:r>
    </w:p>
    <w:p w14:paraId="54B6D1AB" w14:textId="77777777" w:rsidR="00D76842" w:rsidRDefault="00D76842" w:rsidP="00D76842">
      <w:pPr>
        <w:pStyle w:val="a3"/>
        <w:ind w:left="792"/>
        <w:jc w:val="both"/>
      </w:pPr>
    </w:p>
    <w:p w14:paraId="04967161" w14:textId="77777777" w:rsidR="00D76842" w:rsidRDefault="00D76842" w:rsidP="00D76842">
      <w:pPr>
        <w:pStyle w:val="a3"/>
        <w:numPr>
          <w:ilvl w:val="0"/>
          <w:numId w:val="1"/>
        </w:numPr>
        <w:jc w:val="both"/>
        <w:rPr>
          <w:b/>
        </w:rPr>
      </w:pPr>
      <w:r w:rsidRPr="00DD161A">
        <w:rPr>
          <w:b/>
        </w:rPr>
        <w:t xml:space="preserve">Обязательные требования к составу учетной политики </w:t>
      </w:r>
    </w:p>
    <w:p w14:paraId="1A884B11" w14:textId="77777777" w:rsidR="00D76842" w:rsidRDefault="00D76842" w:rsidP="00D76842">
      <w:pPr>
        <w:pStyle w:val="a3"/>
        <w:ind w:left="360"/>
        <w:jc w:val="both"/>
        <w:rPr>
          <w:b/>
        </w:rPr>
      </w:pPr>
    </w:p>
    <w:p w14:paraId="2EFC8799" w14:textId="255B1C21" w:rsidR="002A3777" w:rsidRPr="002A3777" w:rsidRDefault="00D76842" w:rsidP="00D76842">
      <w:pPr>
        <w:pStyle w:val="a3"/>
        <w:numPr>
          <w:ilvl w:val="1"/>
          <w:numId w:val="1"/>
        </w:numPr>
        <w:jc w:val="both"/>
        <w:rPr>
          <w:b/>
          <w:bCs/>
          <w:u w:val="single"/>
        </w:rPr>
      </w:pPr>
      <w:r w:rsidRPr="00DD161A">
        <w:t xml:space="preserve">Первичные (сводные) учетные документы и учетные регистры, в том числе электронные – порядок составления и принятия к учету. Порядок хранения документов. </w:t>
      </w:r>
      <w:r w:rsidR="002A3777" w:rsidRPr="002A3777">
        <w:rPr>
          <w:b/>
          <w:bCs/>
          <w:u w:val="single"/>
        </w:rPr>
        <w:t>Особенности электронного документооборота в случае ведения учета централизованными бухгалтериями</w:t>
      </w:r>
    </w:p>
    <w:p w14:paraId="79B480D2" w14:textId="768D8A38" w:rsidR="00D76842" w:rsidRDefault="00D76842" w:rsidP="00D76842">
      <w:pPr>
        <w:pStyle w:val="a3"/>
        <w:numPr>
          <w:ilvl w:val="1"/>
          <w:numId w:val="1"/>
        </w:numPr>
        <w:jc w:val="both"/>
      </w:pPr>
      <w:r w:rsidRPr="00DD161A">
        <w:t>Оформление графика документооборота (</w:t>
      </w:r>
      <w:r w:rsidRPr="002A3777">
        <w:rPr>
          <w:b/>
          <w:bCs/>
          <w:u w:val="single"/>
        </w:rPr>
        <w:t>в том числе при ведении учета централизованной бухгалтерией</w:t>
      </w:r>
      <w:r w:rsidRPr="00DD161A">
        <w:t>)</w:t>
      </w:r>
    </w:p>
    <w:p w14:paraId="1CBEFA98" w14:textId="69E759A7" w:rsidR="00D76842" w:rsidRDefault="00D76842" w:rsidP="00D76842">
      <w:pPr>
        <w:pStyle w:val="a3"/>
        <w:numPr>
          <w:ilvl w:val="1"/>
          <w:numId w:val="1"/>
        </w:numPr>
        <w:jc w:val="both"/>
      </w:pPr>
      <w:r w:rsidRPr="00DD161A">
        <w:t xml:space="preserve">Порядок формирования рабочего плана счетов </w:t>
      </w:r>
      <w:r w:rsidR="002A3777">
        <w:t xml:space="preserve">в учетной политике </w:t>
      </w:r>
    </w:p>
    <w:p w14:paraId="65A047E6" w14:textId="77777777" w:rsidR="00D76842" w:rsidRDefault="00D76842" w:rsidP="00D76842">
      <w:pPr>
        <w:pStyle w:val="a3"/>
        <w:numPr>
          <w:ilvl w:val="1"/>
          <w:numId w:val="1"/>
        </w:numPr>
        <w:jc w:val="both"/>
      </w:pPr>
      <w:r w:rsidRPr="00DD161A">
        <w:t>Оценка имущества и обязательств. Определение справедливой стоимости для различных активов и обязательств в соответствии с Федеральным стандартом «Концептуальные основы бухгалтерского учета и отчетности организаций государственного сектора»</w:t>
      </w:r>
    </w:p>
    <w:p w14:paraId="50F3229D" w14:textId="4846CF66" w:rsidR="00D76842" w:rsidRPr="002A3777" w:rsidRDefault="00D76842" w:rsidP="00D76842">
      <w:pPr>
        <w:pStyle w:val="a3"/>
        <w:numPr>
          <w:ilvl w:val="1"/>
          <w:numId w:val="1"/>
        </w:numPr>
        <w:jc w:val="both"/>
        <w:rPr>
          <w:b/>
          <w:bCs/>
          <w:u w:val="single"/>
        </w:rPr>
      </w:pPr>
      <w:r w:rsidRPr="00DD161A">
        <w:t xml:space="preserve">Инвентаризация – порядок проведения и отражения результатов. Требования </w:t>
      </w:r>
      <w:r w:rsidR="002A3777">
        <w:t>СГС</w:t>
      </w:r>
      <w:r w:rsidRPr="00DD161A">
        <w:t xml:space="preserve"> «Обесценение активов»</w:t>
      </w:r>
      <w:r>
        <w:t xml:space="preserve"> </w:t>
      </w:r>
      <w:r w:rsidRPr="00DD161A">
        <w:t>при проведении годовой инвентаризации</w:t>
      </w:r>
      <w:r>
        <w:t xml:space="preserve">. </w:t>
      </w:r>
      <w:r w:rsidRPr="00DD161A">
        <w:t>Отражение в учетной политике работы с дебиторской и кредиторской задолженностью и порядок их списания по результатам инвентаризации</w:t>
      </w:r>
      <w:r w:rsidR="002A3777">
        <w:t xml:space="preserve">. </w:t>
      </w:r>
      <w:r w:rsidR="002A3777" w:rsidRPr="002A3777">
        <w:rPr>
          <w:b/>
          <w:bCs/>
          <w:u w:val="single"/>
        </w:rPr>
        <w:t>Роль централизованной бухгалтерии при проведении инвентаризации в обслуживаемых учреждениях</w:t>
      </w:r>
    </w:p>
    <w:p w14:paraId="1A83B5A2" w14:textId="77777777" w:rsidR="00D76842" w:rsidRDefault="00D76842" w:rsidP="00D76842">
      <w:pPr>
        <w:pStyle w:val="a3"/>
        <w:numPr>
          <w:ilvl w:val="1"/>
          <w:numId w:val="1"/>
        </w:numPr>
        <w:jc w:val="both"/>
      </w:pPr>
      <w:r w:rsidRPr="00DD161A">
        <w:t>Порядок организации внутреннего финансового контроля совершаемых фактов хозяйственной деятельности</w:t>
      </w:r>
    </w:p>
    <w:p w14:paraId="49DBBE19" w14:textId="77570627" w:rsidR="00D76842" w:rsidRPr="0062612F" w:rsidRDefault="00D76842" w:rsidP="00D76842">
      <w:pPr>
        <w:pStyle w:val="a3"/>
        <w:numPr>
          <w:ilvl w:val="1"/>
          <w:numId w:val="1"/>
        </w:numPr>
        <w:jc w:val="both"/>
      </w:pPr>
      <w:r w:rsidRPr="001746C4">
        <w:rPr>
          <w:rFonts w:cstheme="minorHAnsi"/>
        </w:rPr>
        <w:t xml:space="preserve">Порядок </w:t>
      </w:r>
      <w:r w:rsidR="002A3777">
        <w:rPr>
          <w:rFonts w:cstheme="minorHAnsi"/>
        </w:rPr>
        <w:t>применения СГС</w:t>
      </w:r>
      <w:r w:rsidRPr="001746C4">
        <w:rPr>
          <w:rFonts w:cstheme="minorHAnsi"/>
        </w:rPr>
        <w:t xml:space="preserve"> «События после отчетной даты»</w:t>
      </w:r>
      <w:r>
        <w:rPr>
          <w:rFonts w:cstheme="minorHAnsi"/>
        </w:rPr>
        <w:t xml:space="preserve"> </w:t>
      </w:r>
    </w:p>
    <w:p w14:paraId="12C3E07F" w14:textId="77777777" w:rsidR="0062612F" w:rsidRPr="0062612F" w:rsidRDefault="0062612F" w:rsidP="0062612F">
      <w:pPr>
        <w:pStyle w:val="a3"/>
        <w:ind w:left="792"/>
        <w:jc w:val="both"/>
      </w:pPr>
    </w:p>
    <w:p w14:paraId="3BB8CBDE" w14:textId="5F49CA52" w:rsidR="0062612F" w:rsidRPr="0062612F" w:rsidRDefault="0062612F" w:rsidP="0062612F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62612F">
        <w:rPr>
          <w:rFonts w:cstheme="minorHAnsi"/>
          <w:b/>
          <w:bCs/>
        </w:rPr>
        <w:t>Формирование методического раздела учетной политики (правила отражения объектов учета «по существу»)</w:t>
      </w:r>
    </w:p>
    <w:p w14:paraId="2CE38CAC" w14:textId="77777777" w:rsidR="0062612F" w:rsidRPr="0062612F" w:rsidRDefault="0062612F" w:rsidP="0062612F">
      <w:pPr>
        <w:pStyle w:val="a3"/>
        <w:ind w:left="360"/>
        <w:jc w:val="both"/>
      </w:pPr>
    </w:p>
    <w:p w14:paraId="76E6E155" w14:textId="27ED58BD" w:rsidR="0062612F" w:rsidRPr="002A3777" w:rsidRDefault="0062612F" w:rsidP="0062612F">
      <w:pPr>
        <w:pStyle w:val="a3"/>
        <w:numPr>
          <w:ilvl w:val="1"/>
          <w:numId w:val="1"/>
        </w:numPr>
        <w:ind w:left="993" w:hanging="633"/>
        <w:jc w:val="both"/>
        <w:rPr>
          <w:b/>
          <w:bCs/>
          <w:u w:val="single"/>
        </w:rPr>
      </w:pPr>
      <w:r w:rsidRPr="00DD161A">
        <w:lastRenderedPageBreak/>
        <w:t>Формирование в учетной политике раздела по учету нефинансовых активов с учетом требований Федеральных стандартов. Расширение роли Комиссии по поступлению и выбытию нефинансовых активов: оценка справедливой стоимости активов, порядок определения состава основных средств</w:t>
      </w:r>
      <w:r>
        <w:t xml:space="preserve"> и материальных запасов. Особенности применения в 2021 году СГС «Нематериальные активы»</w:t>
      </w:r>
      <w:r w:rsidR="002A3777">
        <w:t xml:space="preserve">. </w:t>
      </w:r>
      <w:r w:rsidR="002A3777" w:rsidRPr="002A3777">
        <w:rPr>
          <w:b/>
          <w:bCs/>
          <w:u w:val="single"/>
        </w:rPr>
        <w:t>Порядок работы Комиссии в случае обслуживания в централизованной бухгалтерии</w:t>
      </w:r>
    </w:p>
    <w:p w14:paraId="125F8194" w14:textId="0D7F41D4" w:rsidR="0062612F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>
        <w:t>Особенности учета объектов аренды на счетах 10100 и 11100. Стоимостная оценка объектов, полученных</w:t>
      </w:r>
      <w:r w:rsidR="002A3777">
        <w:t xml:space="preserve"> (переданных)</w:t>
      </w:r>
      <w:r>
        <w:t xml:space="preserve"> в безвозмездное пользование</w:t>
      </w:r>
      <w:r w:rsidR="002A3777">
        <w:t>. Требования СГС «Аренда»</w:t>
      </w:r>
    </w:p>
    <w:p w14:paraId="521C254C" w14:textId="301A3DDD" w:rsidR="0062612F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>
        <w:rPr>
          <w:rFonts w:cstheme="minorHAnsi"/>
        </w:rPr>
        <w:t>Порядок</w:t>
      </w:r>
      <w:r w:rsidRPr="001746C4">
        <w:rPr>
          <w:rFonts w:cstheme="minorHAnsi"/>
        </w:rPr>
        <w:t xml:space="preserve"> формирования себестоимости работ, услуг в зависимости от отраслевой специфики учреждения</w:t>
      </w:r>
      <w:r w:rsidR="002A3777">
        <w:rPr>
          <w:rFonts w:cstheme="minorHAnsi"/>
        </w:rPr>
        <w:t xml:space="preserve"> и СГС «Запасы»</w:t>
      </w:r>
      <w:r w:rsidRPr="001746C4">
        <w:rPr>
          <w:rFonts w:cstheme="minorHAnsi"/>
        </w:rPr>
        <w:t>. Формирование методики калькулирования себестоимости в соответствии с нормативными затратами</w:t>
      </w:r>
      <w:r>
        <w:rPr>
          <w:rFonts w:cstheme="minorHAnsi"/>
        </w:rPr>
        <w:t>, п</w:t>
      </w:r>
      <w:r w:rsidRPr="001746C4">
        <w:rPr>
          <w:rFonts w:cstheme="minorHAnsi"/>
        </w:rPr>
        <w:t>орядок применения счетов 10900</w:t>
      </w:r>
    </w:p>
    <w:p w14:paraId="1CCFC454" w14:textId="5BA9190B" w:rsidR="0062612F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 w:rsidRPr="00DD161A">
        <w:t xml:space="preserve">Отражение порядка учета безналичных и наличных денежных средств. </w:t>
      </w:r>
      <w:r>
        <w:t>Особенности учета</w:t>
      </w:r>
      <w:r w:rsidRPr="00DD161A">
        <w:t xml:space="preserve"> наличных денежных средств</w:t>
      </w:r>
      <w:r>
        <w:t xml:space="preserve"> и денежных документов.</w:t>
      </w:r>
    </w:p>
    <w:p w14:paraId="69AB9DAF" w14:textId="5324657B" w:rsidR="0062612F" w:rsidRPr="002A3777" w:rsidRDefault="0062612F" w:rsidP="0062612F">
      <w:pPr>
        <w:pStyle w:val="a3"/>
        <w:numPr>
          <w:ilvl w:val="1"/>
          <w:numId w:val="1"/>
        </w:numPr>
        <w:ind w:left="993" w:hanging="633"/>
        <w:jc w:val="both"/>
        <w:rPr>
          <w:b/>
          <w:bCs/>
          <w:u w:val="single"/>
        </w:rPr>
      </w:pPr>
      <w:r w:rsidRPr="00DD161A">
        <w:t>Порядок расчетов с подотчетными лицами в учреждении. Особенности отражения командировочных расходов в учетной политике; положение о служебных командировках</w:t>
      </w:r>
      <w:r w:rsidR="002A3777">
        <w:t xml:space="preserve">. </w:t>
      </w:r>
      <w:r w:rsidR="002A3777" w:rsidRPr="002A3777">
        <w:rPr>
          <w:b/>
          <w:bCs/>
          <w:u w:val="single"/>
        </w:rPr>
        <w:t xml:space="preserve">Порядок оформления расчетов с подотчетными лицами в случае обслуживания в централизованной бухгалтерии </w:t>
      </w:r>
    </w:p>
    <w:p w14:paraId="77CD343D" w14:textId="03EE26E1" w:rsidR="0062612F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 w:rsidRPr="00DD161A">
        <w:t>Отдельные вопросы по учету финансовых активов</w:t>
      </w:r>
      <w:r w:rsidR="002A3777">
        <w:t xml:space="preserve"> в соответствии с СГС «Финансовые инструменты»</w:t>
      </w:r>
    </w:p>
    <w:p w14:paraId="1659F70F" w14:textId="03BFEA97" w:rsidR="0062612F" w:rsidRPr="00DD161A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 w:rsidRPr="001746C4">
        <w:rPr>
          <w:rFonts w:cstheme="minorHAnsi"/>
        </w:rPr>
        <w:t>Порядок детализации доходов и расходов</w:t>
      </w:r>
      <w:r>
        <w:rPr>
          <w:rFonts w:cstheme="minorHAnsi"/>
        </w:rPr>
        <w:t xml:space="preserve"> в соответствии с СГС «Доходы»</w:t>
      </w:r>
      <w:r w:rsidRPr="001746C4">
        <w:rPr>
          <w:rFonts w:cstheme="minorHAnsi"/>
        </w:rPr>
        <w:t>. Определение дат признания отдельных видов доходов в бюджетном</w:t>
      </w:r>
      <w:r>
        <w:rPr>
          <w:rFonts w:cstheme="minorHAnsi"/>
        </w:rPr>
        <w:t xml:space="preserve"> (бухгалтерском)</w:t>
      </w:r>
      <w:r w:rsidRPr="001746C4">
        <w:rPr>
          <w:rFonts w:cstheme="minorHAnsi"/>
        </w:rPr>
        <w:t xml:space="preserve"> учете</w:t>
      </w:r>
    </w:p>
    <w:p w14:paraId="1467A756" w14:textId="24440A8B" w:rsidR="0062612F" w:rsidRPr="00DD161A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 w:rsidRPr="001746C4">
        <w:rPr>
          <w:rFonts w:cstheme="minorHAnsi"/>
        </w:rPr>
        <w:t>Порядок резервирования предстоящих расходов</w:t>
      </w:r>
      <w:r>
        <w:rPr>
          <w:rFonts w:cstheme="minorHAnsi"/>
        </w:rPr>
        <w:t xml:space="preserve"> с учетом требований СГС «Резервы»</w:t>
      </w:r>
      <w:r w:rsidR="002A3777">
        <w:rPr>
          <w:rFonts w:cstheme="minorHAnsi"/>
        </w:rPr>
        <w:t xml:space="preserve"> и СГС «</w:t>
      </w:r>
      <w:r w:rsidR="00313789">
        <w:rPr>
          <w:rFonts w:cstheme="minorHAnsi"/>
        </w:rPr>
        <w:t>Выплаты</w:t>
      </w:r>
      <w:r w:rsidR="002A3777">
        <w:rPr>
          <w:rFonts w:cstheme="minorHAnsi"/>
        </w:rPr>
        <w:t xml:space="preserve"> персоналу»</w:t>
      </w:r>
      <w:r>
        <w:rPr>
          <w:rFonts w:cstheme="minorHAnsi"/>
        </w:rPr>
        <w:t xml:space="preserve"> </w:t>
      </w:r>
    </w:p>
    <w:p w14:paraId="678B3A26" w14:textId="56C805A6" w:rsidR="0062612F" w:rsidRPr="00DD161A" w:rsidRDefault="0062612F" w:rsidP="0062612F">
      <w:pPr>
        <w:pStyle w:val="a3"/>
        <w:numPr>
          <w:ilvl w:val="1"/>
          <w:numId w:val="1"/>
        </w:numPr>
        <w:ind w:left="993" w:hanging="633"/>
        <w:jc w:val="both"/>
      </w:pPr>
      <w:r w:rsidRPr="001746C4">
        <w:rPr>
          <w:rFonts w:cstheme="minorHAnsi"/>
        </w:rPr>
        <w:t xml:space="preserve">Порядок санкционирования расходов в соответствии с перечнем документов и требованиям финансовых органов. </w:t>
      </w:r>
      <w:r>
        <w:rPr>
          <w:rFonts w:cstheme="minorHAnsi"/>
        </w:rPr>
        <w:t>Требования СГС «Бюджетная информация в отчетности»</w:t>
      </w:r>
    </w:p>
    <w:p w14:paraId="6342AE93" w14:textId="68EF8C6F" w:rsidR="0062612F" w:rsidRPr="00DD161A" w:rsidRDefault="00313789" w:rsidP="0062612F">
      <w:pPr>
        <w:pStyle w:val="a3"/>
        <w:numPr>
          <w:ilvl w:val="1"/>
          <w:numId w:val="1"/>
        </w:numPr>
        <w:ind w:left="993" w:hanging="633"/>
        <w:jc w:val="both"/>
      </w:pPr>
      <w:r>
        <w:rPr>
          <w:rFonts w:cstheme="minorHAnsi"/>
        </w:rPr>
        <w:t>Особенности</w:t>
      </w:r>
      <w:r w:rsidR="0062612F" w:rsidRPr="001746C4">
        <w:rPr>
          <w:rFonts w:cstheme="minorHAnsi"/>
        </w:rPr>
        <w:t xml:space="preserve"> учета и оценки имущества</w:t>
      </w:r>
      <w:r>
        <w:rPr>
          <w:rFonts w:cstheme="minorHAnsi"/>
        </w:rPr>
        <w:t xml:space="preserve"> </w:t>
      </w:r>
      <w:r w:rsidR="0062612F" w:rsidRPr="001746C4">
        <w:rPr>
          <w:rFonts w:cstheme="minorHAnsi"/>
        </w:rPr>
        <w:t>на отдельных забалансовых счетах</w:t>
      </w:r>
    </w:p>
    <w:p w14:paraId="159397AB" w14:textId="77777777" w:rsidR="00D76842" w:rsidRPr="00D76842" w:rsidRDefault="00D76842" w:rsidP="00D76842">
      <w:pPr>
        <w:pStyle w:val="a3"/>
        <w:ind w:left="792"/>
        <w:jc w:val="both"/>
      </w:pPr>
    </w:p>
    <w:p w14:paraId="50ECABE0" w14:textId="47EB214A" w:rsidR="00D76842" w:rsidRPr="00D76842" w:rsidRDefault="00D76842" w:rsidP="00D76842">
      <w:pPr>
        <w:pStyle w:val="a3"/>
        <w:numPr>
          <w:ilvl w:val="0"/>
          <w:numId w:val="1"/>
        </w:numPr>
        <w:jc w:val="both"/>
        <w:rPr>
          <w:b/>
          <w:bCs/>
        </w:rPr>
      </w:pPr>
      <w:r w:rsidRPr="00D76842">
        <w:rPr>
          <w:rFonts w:cstheme="minorHAnsi"/>
          <w:b/>
          <w:bCs/>
        </w:rPr>
        <w:t>Особенности внесения изменений в учетную политику</w:t>
      </w:r>
    </w:p>
    <w:p w14:paraId="2268FCDC" w14:textId="77777777" w:rsidR="00D76842" w:rsidRPr="00D76842" w:rsidRDefault="00D76842" w:rsidP="00D76842">
      <w:pPr>
        <w:pStyle w:val="a3"/>
        <w:ind w:left="360"/>
        <w:jc w:val="both"/>
      </w:pPr>
    </w:p>
    <w:p w14:paraId="66843A79" w14:textId="30B949C2" w:rsidR="00D76842" w:rsidRPr="00D76842" w:rsidRDefault="00D76842" w:rsidP="00D76842">
      <w:pPr>
        <w:pStyle w:val="a3"/>
        <w:numPr>
          <w:ilvl w:val="1"/>
          <w:numId w:val="1"/>
        </w:numPr>
        <w:jc w:val="both"/>
      </w:pPr>
      <w:r>
        <w:rPr>
          <w:rFonts w:cstheme="minorHAnsi"/>
        </w:rPr>
        <w:t>Что считать и что не считать изменением учетной политики</w:t>
      </w:r>
    </w:p>
    <w:p w14:paraId="4F4F560B" w14:textId="1E040654" w:rsidR="00D76842" w:rsidRPr="00D76842" w:rsidRDefault="00D76842" w:rsidP="00D76842">
      <w:pPr>
        <w:pStyle w:val="a3"/>
        <w:numPr>
          <w:ilvl w:val="1"/>
          <w:numId w:val="1"/>
        </w:numPr>
        <w:jc w:val="both"/>
      </w:pPr>
      <w:r>
        <w:rPr>
          <w:rFonts w:cstheme="minorHAnsi"/>
        </w:rPr>
        <w:t xml:space="preserve">Порядок внесения изменений в учетную политику: согласование и утверждение </w:t>
      </w:r>
    </w:p>
    <w:p w14:paraId="5D7818F1" w14:textId="216F5A62" w:rsidR="00D76842" w:rsidRPr="00DD161A" w:rsidRDefault="00D76842" w:rsidP="00D76842">
      <w:pPr>
        <w:pStyle w:val="a3"/>
        <w:numPr>
          <w:ilvl w:val="1"/>
          <w:numId w:val="1"/>
        </w:numPr>
        <w:jc w:val="both"/>
      </w:pPr>
      <w:r>
        <w:t>Р</w:t>
      </w:r>
      <w:r w:rsidRPr="00DD161A">
        <w:t>етроспективное и перспективное применение измененной учетной политики</w:t>
      </w:r>
    </w:p>
    <w:p w14:paraId="0E18B268" w14:textId="77777777" w:rsidR="00D76842" w:rsidRPr="00DD161A" w:rsidRDefault="00D76842" w:rsidP="00D76842">
      <w:pPr>
        <w:pStyle w:val="a3"/>
        <w:ind w:left="792"/>
        <w:jc w:val="both"/>
      </w:pPr>
    </w:p>
    <w:p w14:paraId="52CEDD56" w14:textId="77777777" w:rsidR="00CF4D5D" w:rsidRDefault="00CF4D5D"/>
    <w:sectPr w:rsidR="00CF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8A4"/>
    <w:multiLevelType w:val="multilevel"/>
    <w:tmpl w:val="A8624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42"/>
    <w:rsid w:val="002A3777"/>
    <w:rsid w:val="00313789"/>
    <w:rsid w:val="006067E3"/>
    <w:rsid w:val="0062612F"/>
    <w:rsid w:val="00866713"/>
    <w:rsid w:val="00CF4D5D"/>
    <w:rsid w:val="00D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986C"/>
  <w15:chartTrackingRefBased/>
  <w15:docId w15:val="{C2EE10AB-035D-4EB0-BBA6-3926F539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42"/>
  </w:style>
  <w:style w:type="paragraph" w:styleId="1">
    <w:name w:val="heading 1"/>
    <w:basedOn w:val="a"/>
    <w:next w:val="a"/>
    <w:link w:val="10"/>
    <w:uiPriority w:val="9"/>
    <w:qFormat/>
    <w:rsid w:val="00D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7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14AB-E745-47DE-A8A6-6C367A8E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</dc:creator>
  <cp:keywords/>
  <dc:description/>
  <cp:lastModifiedBy>Alexander O</cp:lastModifiedBy>
  <cp:revision>4</cp:revision>
  <dcterms:created xsi:type="dcterms:W3CDTF">2021-01-09T14:08:00Z</dcterms:created>
  <dcterms:modified xsi:type="dcterms:W3CDTF">2021-06-21T21:57:00Z</dcterms:modified>
</cp:coreProperties>
</file>