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A7" w:rsidRPr="004447BF" w:rsidRDefault="00792EA7" w:rsidP="00792EA7">
      <w:pPr>
        <w:pStyle w:val="1"/>
        <w:jc w:val="center"/>
        <w:rPr>
          <w:rFonts w:ascii="Times New Roman" w:hAnsi="Times New Roman"/>
          <w:color w:val="4F81BD"/>
          <w:sz w:val="28"/>
          <w:szCs w:val="28"/>
        </w:rPr>
      </w:pPr>
      <w:r w:rsidRPr="004447BF">
        <w:rPr>
          <w:rFonts w:ascii="Times New Roman" w:hAnsi="Times New Roman"/>
          <w:color w:val="4F81BD"/>
          <w:sz w:val="28"/>
          <w:szCs w:val="28"/>
        </w:rPr>
        <w:t>Дополнительная профессиональная программа повышения квалификации</w:t>
      </w:r>
    </w:p>
    <w:p w:rsidR="00792EA7" w:rsidRPr="004447BF" w:rsidRDefault="003A0EF2" w:rsidP="00792EA7">
      <w:pPr>
        <w:jc w:val="center"/>
        <w:rPr>
          <w:rFonts w:ascii="Times New Roman" w:hAnsi="Times New Roman"/>
          <w:b/>
          <w:color w:val="4F81BD"/>
          <w:sz w:val="28"/>
          <w:szCs w:val="28"/>
        </w:rPr>
      </w:pPr>
      <w:r w:rsidRPr="004447BF">
        <w:rPr>
          <w:rFonts w:ascii="Times New Roman" w:hAnsi="Times New Roman"/>
          <w:b/>
          <w:color w:val="4F81BD"/>
          <w:sz w:val="28"/>
          <w:szCs w:val="28"/>
        </w:rPr>
        <w:t>(</w:t>
      </w:r>
      <w:r w:rsidR="00792EA7" w:rsidRPr="004447BF">
        <w:rPr>
          <w:rFonts w:ascii="Times New Roman" w:hAnsi="Times New Roman"/>
          <w:b/>
          <w:color w:val="4F81BD"/>
          <w:sz w:val="28"/>
          <w:szCs w:val="28"/>
        </w:rPr>
        <w:t>40 часов</w:t>
      </w:r>
      <w:r w:rsidRPr="004447BF">
        <w:rPr>
          <w:rFonts w:ascii="Times New Roman" w:hAnsi="Times New Roman"/>
          <w:b/>
          <w:color w:val="4F81BD"/>
          <w:sz w:val="28"/>
          <w:szCs w:val="28"/>
        </w:rPr>
        <w:t>)</w:t>
      </w:r>
    </w:p>
    <w:p w:rsidR="001977A2" w:rsidRPr="004447BF" w:rsidRDefault="00792EA7" w:rsidP="001977A2">
      <w:pPr>
        <w:pStyle w:val="1"/>
        <w:jc w:val="center"/>
        <w:rPr>
          <w:rFonts w:ascii="Times New Roman" w:hAnsi="Times New Roman"/>
          <w:i/>
          <w:color w:val="FF0000"/>
          <w:sz w:val="36"/>
          <w:szCs w:val="36"/>
        </w:rPr>
      </w:pPr>
      <w:r w:rsidRPr="004447BF">
        <w:rPr>
          <w:rFonts w:ascii="Times New Roman" w:hAnsi="Times New Roman"/>
          <w:color w:val="FF0000"/>
          <w:sz w:val="28"/>
          <w:szCs w:val="28"/>
        </w:rPr>
        <w:t>«</w:t>
      </w:r>
      <w:r w:rsidR="001977A2" w:rsidRPr="004447BF">
        <w:rPr>
          <w:rFonts w:ascii="Times New Roman" w:hAnsi="Times New Roman"/>
          <w:i/>
          <w:color w:val="FF0000"/>
          <w:sz w:val="28"/>
          <w:szCs w:val="28"/>
        </w:rPr>
        <w:t>Новое в бухгалтерском учёте и хозяйственной деятельности бюджетных, автономных и казенных учреждений  в 2022 году.</w:t>
      </w:r>
      <w:r w:rsidR="001977A2" w:rsidRPr="004447B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977A2" w:rsidRPr="004447BF">
        <w:rPr>
          <w:rFonts w:ascii="Times New Roman" w:hAnsi="Times New Roman"/>
          <w:i/>
          <w:color w:val="FF0000"/>
          <w:sz w:val="28"/>
          <w:szCs w:val="28"/>
        </w:rPr>
        <w:t>Актуализация правил ФХД и учета на 2022 год (плановый период 2022-2024). Особенности  формирования учетной политики учреждений»</w:t>
      </w:r>
    </w:p>
    <w:p w:rsidR="001977A2" w:rsidRPr="004447BF" w:rsidRDefault="00B47BF1" w:rsidP="008D0B8F">
      <w:pPr>
        <w:pStyle w:val="2"/>
        <w:rPr>
          <w:rFonts w:ascii="Times New Roman" w:hAnsi="Times New Roman"/>
          <w:color w:val="auto"/>
          <w:sz w:val="28"/>
          <w:szCs w:val="28"/>
        </w:rPr>
      </w:pPr>
      <w:r w:rsidRPr="004447BF">
        <w:rPr>
          <w:rFonts w:ascii="Times New Roman" w:hAnsi="Times New Roman"/>
          <w:color w:val="auto"/>
          <w:sz w:val="28"/>
          <w:szCs w:val="28"/>
        </w:rPr>
        <w:t xml:space="preserve">День 1: </w:t>
      </w:r>
    </w:p>
    <w:p w:rsidR="001977A2" w:rsidRPr="004447BF" w:rsidRDefault="001977A2" w:rsidP="008D0B8F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  <w:r w:rsidRPr="004447BF">
        <w:rPr>
          <w:rFonts w:ascii="Times New Roman" w:hAnsi="Times New Roman"/>
          <w:b/>
          <w:bCs/>
          <w:sz w:val="28"/>
          <w:szCs w:val="28"/>
        </w:rPr>
        <w:t>Изменения в учете и хозяйственной деятельности</w:t>
      </w:r>
    </w:p>
    <w:p w:rsidR="001977A2" w:rsidRPr="004447BF" w:rsidRDefault="001977A2" w:rsidP="008D0B8F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  <w:r w:rsidRPr="004447BF">
        <w:rPr>
          <w:rFonts w:ascii="Times New Roman" w:hAnsi="Times New Roman"/>
          <w:b/>
          <w:bCs/>
          <w:sz w:val="28"/>
          <w:szCs w:val="28"/>
        </w:rPr>
        <w:t>бюджетных, автономных и казенных учреждений. Актуализация правил ФХД и учета на 2022 год (плановый период 2022-2024).</w:t>
      </w:r>
    </w:p>
    <w:p w:rsidR="001977A2" w:rsidRPr="00483AC2" w:rsidRDefault="001977A2" w:rsidP="001977A2">
      <w:pPr>
        <w:pStyle w:val="a3"/>
        <w:pBdr>
          <w:bottom w:val="double" w:sz="6" w:space="1" w:color="auto"/>
        </w:pBdr>
        <w:ind w:left="567"/>
        <w:rPr>
          <w:rFonts w:ascii="Times New Roman" w:hAnsi="Times New Roman"/>
          <w:b/>
          <w:bCs/>
          <w:sz w:val="24"/>
          <w:szCs w:val="24"/>
        </w:rPr>
      </w:pPr>
    </w:p>
    <w:p w:rsidR="001977A2" w:rsidRPr="00502CDC" w:rsidRDefault="001977A2" w:rsidP="001977A2">
      <w:pPr>
        <w:pStyle w:val="a3"/>
        <w:spacing w:after="0" w:line="240" w:lineRule="auto"/>
        <w:ind w:left="862"/>
        <w:jc w:val="center"/>
        <w:rPr>
          <w:rFonts w:ascii="Times New Roman" w:hAnsi="Times New Roman"/>
          <w:b/>
          <w:bCs/>
          <w:sz w:val="24"/>
          <w:szCs w:val="24"/>
        </w:rPr>
      </w:pPr>
      <w:r w:rsidRPr="00502CDC">
        <w:rPr>
          <w:rFonts w:ascii="Times New Roman" w:hAnsi="Times New Roman"/>
          <w:b/>
          <w:bCs/>
          <w:sz w:val="24"/>
          <w:szCs w:val="24"/>
        </w:rPr>
        <w:t>Федеральные стандарты</w:t>
      </w:r>
      <w:r>
        <w:rPr>
          <w:rFonts w:ascii="Times New Roman" w:hAnsi="Times New Roman"/>
          <w:b/>
          <w:bCs/>
          <w:sz w:val="24"/>
          <w:szCs w:val="24"/>
        </w:rPr>
        <w:t xml:space="preserve"> (СГС)</w:t>
      </w:r>
      <w:r w:rsidRPr="00502CD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2021 года</w:t>
      </w:r>
      <w:r w:rsidRPr="00502CDC">
        <w:rPr>
          <w:rFonts w:ascii="Times New Roman" w:hAnsi="Times New Roman"/>
          <w:b/>
          <w:bCs/>
          <w:sz w:val="24"/>
          <w:szCs w:val="24"/>
        </w:rPr>
        <w:t>:</w:t>
      </w:r>
    </w:p>
    <w:p w:rsidR="001977A2" w:rsidRDefault="001977A2" w:rsidP="001977A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стандарт «Нематериальные активы». Терминология и прикладные вопросы применения. Переходные положения и способы внедрения нового правила в учете. Учетная политика учреждения с учетом обновленных требований к учету нематериальных активов;</w:t>
      </w:r>
    </w:p>
    <w:p w:rsidR="001977A2" w:rsidRDefault="001977A2" w:rsidP="001977A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003">
        <w:rPr>
          <w:rFonts w:ascii="Times New Roman" w:hAnsi="Times New Roman"/>
          <w:sz w:val="24"/>
          <w:szCs w:val="24"/>
        </w:rPr>
        <w:t>Анализ и пояснение полного перечня Федеральных стандартов 2021 года. Терминология и прикладные вопросы применения. Способы внедрения новых правил в учете. Учетная политика учреждения с учетом обновленных требований к учету</w:t>
      </w:r>
      <w:r>
        <w:rPr>
          <w:rFonts w:ascii="Times New Roman" w:hAnsi="Times New Roman"/>
          <w:sz w:val="24"/>
          <w:szCs w:val="24"/>
        </w:rPr>
        <w:t>;</w:t>
      </w:r>
    </w:p>
    <w:p w:rsidR="001977A2" w:rsidRDefault="001977A2" w:rsidP="001977A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AB8">
        <w:rPr>
          <w:rFonts w:ascii="Times New Roman" w:hAnsi="Times New Roman"/>
          <w:sz w:val="24"/>
          <w:szCs w:val="24"/>
        </w:rPr>
        <w:t>Типовые и нестандартные финансово-хозяйственные ситуации – отражение в учете и отчетности</w:t>
      </w:r>
      <w:r>
        <w:rPr>
          <w:rFonts w:ascii="Times New Roman" w:hAnsi="Times New Roman"/>
          <w:sz w:val="24"/>
          <w:szCs w:val="24"/>
        </w:rPr>
        <w:t>;</w:t>
      </w:r>
      <w:r w:rsidRPr="004D5AB8">
        <w:rPr>
          <w:rFonts w:ascii="Times New Roman" w:hAnsi="Times New Roman"/>
          <w:sz w:val="24"/>
          <w:szCs w:val="24"/>
        </w:rPr>
        <w:t xml:space="preserve"> </w:t>
      </w:r>
    </w:p>
    <w:p w:rsidR="001977A2" w:rsidRPr="008F6823" w:rsidRDefault="001977A2" w:rsidP="001977A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AB8">
        <w:rPr>
          <w:rFonts w:ascii="Times New Roman" w:hAnsi="Times New Roman"/>
          <w:sz w:val="24"/>
          <w:szCs w:val="24"/>
        </w:rPr>
        <w:t xml:space="preserve">Практические вопросы применения обновленных требований к учету в соответствии с Федеральными стандартами. </w:t>
      </w:r>
    </w:p>
    <w:p w:rsidR="001977A2" w:rsidRPr="004D5AB8" w:rsidRDefault="001977A2" w:rsidP="001977A2">
      <w:pPr>
        <w:pStyle w:val="a3"/>
        <w:spacing w:after="0" w:line="240" w:lineRule="auto"/>
        <w:ind w:left="86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Обзор новых</w:t>
      </w:r>
      <w:r w:rsidRPr="004D5AB8">
        <w:rPr>
          <w:rFonts w:ascii="Times New Roman" w:hAnsi="Times New Roman"/>
          <w:b/>
          <w:bCs/>
          <w:sz w:val="24"/>
          <w:szCs w:val="24"/>
        </w:rPr>
        <w:t xml:space="preserve"> Федеральных стандартов </w:t>
      </w:r>
      <w:r>
        <w:rPr>
          <w:rFonts w:ascii="Times New Roman" w:hAnsi="Times New Roman"/>
          <w:b/>
          <w:bCs/>
          <w:sz w:val="24"/>
          <w:szCs w:val="24"/>
        </w:rPr>
        <w:t>2022 года и изменений СГС прошлых лет</w:t>
      </w:r>
      <w:r w:rsidRPr="004D5AB8">
        <w:rPr>
          <w:rFonts w:ascii="Times New Roman" w:hAnsi="Times New Roman"/>
          <w:b/>
          <w:bCs/>
          <w:sz w:val="24"/>
          <w:szCs w:val="24"/>
        </w:rPr>
        <w:t>:</w:t>
      </w:r>
    </w:p>
    <w:p w:rsidR="001977A2" w:rsidRDefault="001977A2" w:rsidP="001977A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изменений в ранее принятых Федеральных стандартах, влияющий на правила ведения учета и составления отчетности;</w:t>
      </w:r>
    </w:p>
    <w:p w:rsidR="001977A2" w:rsidRPr="008F6823" w:rsidRDefault="001977A2" w:rsidP="001977A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и применение СГС 2022 года</w:t>
      </w:r>
      <w:r w:rsidRPr="00A25EB4">
        <w:rPr>
          <w:rFonts w:ascii="Times New Roman" w:hAnsi="Times New Roman"/>
          <w:sz w:val="24"/>
          <w:szCs w:val="24"/>
        </w:rPr>
        <w:t>. Отраслевые особенности, прикладные ситуации и рекомендации.</w:t>
      </w:r>
    </w:p>
    <w:p w:rsidR="001977A2" w:rsidRPr="00BA178B" w:rsidRDefault="001977A2" w:rsidP="001977A2">
      <w:pPr>
        <w:pStyle w:val="a3"/>
        <w:spacing w:after="0" w:line="240" w:lineRule="auto"/>
        <w:ind w:left="862"/>
        <w:jc w:val="center"/>
        <w:rPr>
          <w:rFonts w:ascii="Times New Roman" w:hAnsi="Times New Roman"/>
          <w:b/>
          <w:bCs/>
          <w:sz w:val="24"/>
          <w:szCs w:val="24"/>
        </w:rPr>
      </w:pPr>
      <w:r w:rsidRPr="00475D53">
        <w:rPr>
          <w:rFonts w:ascii="Times New Roman" w:hAnsi="Times New Roman"/>
          <w:b/>
          <w:bCs/>
          <w:sz w:val="24"/>
          <w:szCs w:val="24"/>
        </w:rPr>
        <w:t>Общие правила учета и ведения хозяйственных операций в 202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475D53">
        <w:rPr>
          <w:rFonts w:ascii="Times New Roman" w:hAnsi="Times New Roman"/>
          <w:b/>
          <w:bCs/>
          <w:sz w:val="24"/>
          <w:szCs w:val="24"/>
        </w:rPr>
        <w:t xml:space="preserve"> году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1977A2" w:rsidRDefault="001977A2" w:rsidP="001977A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Обзор нормативных документов, напрямую влияющих на учет и отчетность в 2022 году;</w:t>
      </w:r>
    </w:p>
    <w:p w:rsidR="001977A2" w:rsidRPr="00905573" w:rsidRDefault="001977A2" w:rsidP="001977A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EE2">
        <w:rPr>
          <w:rFonts w:ascii="Times New Roman" w:hAnsi="Times New Roman"/>
          <w:sz w:val="24"/>
          <w:szCs w:val="24"/>
        </w:rPr>
        <w:t>Измене</w:t>
      </w:r>
      <w:r>
        <w:rPr>
          <w:rFonts w:ascii="Times New Roman" w:hAnsi="Times New Roman"/>
          <w:sz w:val="24"/>
          <w:szCs w:val="24"/>
        </w:rPr>
        <w:t xml:space="preserve">ния </w:t>
      </w:r>
      <w:r w:rsidRPr="004B5EE2">
        <w:rPr>
          <w:rFonts w:ascii="Times New Roman" w:hAnsi="Times New Roman"/>
          <w:sz w:val="24"/>
          <w:szCs w:val="24"/>
        </w:rPr>
        <w:t>бюджетн</w:t>
      </w:r>
      <w:r>
        <w:rPr>
          <w:rFonts w:ascii="Times New Roman" w:hAnsi="Times New Roman"/>
          <w:sz w:val="24"/>
          <w:szCs w:val="24"/>
        </w:rPr>
        <w:t>ой</w:t>
      </w:r>
      <w:r w:rsidRPr="004B5EE2">
        <w:rPr>
          <w:rFonts w:ascii="Times New Roman" w:hAnsi="Times New Roman"/>
          <w:sz w:val="24"/>
          <w:szCs w:val="24"/>
        </w:rPr>
        <w:t xml:space="preserve"> классификаци</w:t>
      </w:r>
      <w:r>
        <w:rPr>
          <w:rFonts w:ascii="Times New Roman" w:hAnsi="Times New Roman"/>
          <w:sz w:val="24"/>
          <w:szCs w:val="24"/>
        </w:rPr>
        <w:t>и и рабочего плана счетов;</w:t>
      </w:r>
    </w:p>
    <w:p w:rsidR="001977A2" w:rsidRDefault="001977A2" w:rsidP="001977A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в требованиях к отражению в учете отдельных операций;</w:t>
      </w:r>
    </w:p>
    <w:p w:rsidR="001977A2" w:rsidRDefault="001977A2" w:rsidP="001977A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финансово-хозяйственной деятельности и управление расходами;</w:t>
      </w:r>
    </w:p>
    <w:p w:rsidR="001977A2" w:rsidRPr="00905573" w:rsidRDefault="001977A2" w:rsidP="001977A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Новации</w:t>
      </w:r>
      <w:r w:rsidRPr="00905573">
        <w:rPr>
          <w:rFonts w:ascii="Times New Roman" w:hAnsi="Times New Roman"/>
          <w:sz w:val="24"/>
          <w:szCs w:val="24"/>
        </w:rPr>
        <w:t xml:space="preserve"> первичн</w:t>
      </w:r>
      <w:r>
        <w:rPr>
          <w:rFonts w:ascii="Times New Roman" w:hAnsi="Times New Roman"/>
          <w:sz w:val="24"/>
          <w:szCs w:val="24"/>
        </w:rPr>
        <w:t>ой</w:t>
      </w:r>
      <w:r w:rsidRPr="00905573">
        <w:rPr>
          <w:rFonts w:ascii="Times New Roman" w:hAnsi="Times New Roman"/>
          <w:sz w:val="24"/>
          <w:szCs w:val="24"/>
        </w:rPr>
        <w:t xml:space="preserve"> документаци</w:t>
      </w:r>
      <w:r>
        <w:rPr>
          <w:rFonts w:ascii="Times New Roman" w:hAnsi="Times New Roman"/>
          <w:sz w:val="24"/>
          <w:szCs w:val="24"/>
        </w:rPr>
        <w:t>и и документооборота</w:t>
      </w:r>
      <w:r w:rsidRPr="00905573">
        <w:rPr>
          <w:rFonts w:ascii="Times New Roman" w:hAnsi="Times New Roman"/>
          <w:sz w:val="24"/>
          <w:szCs w:val="24"/>
        </w:rPr>
        <w:t xml:space="preserve"> для учреждений;</w:t>
      </w:r>
    </w:p>
    <w:p w:rsidR="001977A2" w:rsidRPr="00905573" w:rsidRDefault="001977A2" w:rsidP="001977A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и представление</w:t>
      </w:r>
      <w:r w:rsidRPr="00905573">
        <w:rPr>
          <w:rFonts w:ascii="Times New Roman" w:hAnsi="Times New Roman"/>
          <w:sz w:val="24"/>
          <w:szCs w:val="24"/>
        </w:rPr>
        <w:t xml:space="preserve"> отдельны</w:t>
      </w:r>
      <w:r>
        <w:rPr>
          <w:rFonts w:ascii="Times New Roman" w:hAnsi="Times New Roman"/>
          <w:sz w:val="24"/>
          <w:szCs w:val="24"/>
        </w:rPr>
        <w:t>х</w:t>
      </w:r>
      <w:r w:rsidRPr="00905573">
        <w:rPr>
          <w:rFonts w:ascii="Times New Roman" w:hAnsi="Times New Roman"/>
          <w:sz w:val="24"/>
          <w:szCs w:val="24"/>
        </w:rPr>
        <w:t xml:space="preserve"> форм отчетности учреждений.  </w:t>
      </w:r>
    </w:p>
    <w:p w:rsidR="001977A2" w:rsidRPr="00905573" w:rsidRDefault="001977A2" w:rsidP="001977A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1977A2" w:rsidRDefault="004447BF" w:rsidP="001977A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Веби</w:t>
      </w:r>
      <w:r w:rsidR="008D0B8F">
        <w:rPr>
          <w:rFonts w:ascii="Times New Roman" w:hAnsi="Times New Roman"/>
          <w:sz w:val="24"/>
          <w:szCs w:val="24"/>
        </w:rPr>
        <w:t>нар</w:t>
      </w:r>
      <w:proofErr w:type="spellEnd"/>
      <w:r w:rsidR="001977A2" w:rsidRPr="00905573">
        <w:rPr>
          <w:rFonts w:ascii="Times New Roman" w:hAnsi="Times New Roman"/>
          <w:sz w:val="24"/>
          <w:szCs w:val="24"/>
        </w:rPr>
        <w:t xml:space="preserve"> предоставляет сведения об изменениях в правилах и требованиях к учету, а также на практических примерах поясняет прикладные вопросы ведения финансово-хозяйственной деятельности в 202</w:t>
      </w:r>
      <w:r w:rsidR="001977A2">
        <w:rPr>
          <w:rFonts w:ascii="Times New Roman" w:hAnsi="Times New Roman"/>
          <w:sz w:val="24"/>
          <w:szCs w:val="24"/>
        </w:rPr>
        <w:t>2</w:t>
      </w:r>
      <w:r w:rsidR="001977A2" w:rsidRPr="00905573">
        <w:rPr>
          <w:rFonts w:ascii="Times New Roman" w:hAnsi="Times New Roman"/>
          <w:sz w:val="24"/>
          <w:szCs w:val="24"/>
        </w:rPr>
        <w:t xml:space="preserve"> году. </w:t>
      </w:r>
      <w:proofErr w:type="spellStart"/>
      <w:r w:rsidR="008D0B8F">
        <w:rPr>
          <w:rFonts w:ascii="Times New Roman" w:hAnsi="Times New Roman"/>
          <w:sz w:val="24"/>
          <w:szCs w:val="24"/>
        </w:rPr>
        <w:t>Вебинар</w:t>
      </w:r>
      <w:proofErr w:type="spellEnd"/>
      <w:r w:rsidR="001977A2" w:rsidRPr="00905573">
        <w:rPr>
          <w:rFonts w:ascii="Times New Roman" w:hAnsi="Times New Roman"/>
          <w:sz w:val="24"/>
          <w:szCs w:val="24"/>
        </w:rPr>
        <w:t xml:space="preserve"> будет актуален главным бухгалтерам и бухгалтерам учреждений всех типов (бюджетных, автономных и казенных), а также бухгалтерам органов власти и управления.  </w:t>
      </w:r>
    </w:p>
    <w:p w:rsidR="001977A2" w:rsidRDefault="001977A2" w:rsidP="001977A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Материалы </w:t>
      </w:r>
      <w:proofErr w:type="spellStart"/>
      <w:r w:rsidR="008D0B8F">
        <w:rPr>
          <w:rFonts w:ascii="Times New Roman" w:hAnsi="Times New Roman"/>
          <w:sz w:val="24"/>
          <w:szCs w:val="24"/>
        </w:rPr>
        <w:t>вебинара</w:t>
      </w:r>
      <w:proofErr w:type="spellEnd"/>
      <w:r>
        <w:rPr>
          <w:rFonts w:ascii="Times New Roman" w:hAnsi="Times New Roman"/>
          <w:sz w:val="24"/>
          <w:szCs w:val="24"/>
        </w:rPr>
        <w:t xml:space="preserve"> соответствуют требованиям к трудовым функциям бухгалтера в соответствии с профессиональным стандартом «Бухгалтер» (</w:t>
      </w:r>
      <w:r w:rsidRPr="00EC50C8">
        <w:rPr>
          <w:rFonts w:ascii="Times New Roman" w:hAnsi="Times New Roman"/>
          <w:sz w:val="24"/>
          <w:szCs w:val="24"/>
        </w:rPr>
        <w:t>Приказ Минтруда России от 21.02.2019 N 103н</w:t>
      </w:r>
      <w:r>
        <w:rPr>
          <w:rFonts w:ascii="Times New Roman" w:hAnsi="Times New Roman"/>
          <w:sz w:val="24"/>
          <w:szCs w:val="24"/>
        </w:rPr>
        <w:t xml:space="preserve">) до уровня 7 включительно, а именно: A/01.5, A/02.5, </w:t>
      </w:r>
      <w:r w:rsidRPr="00D71B28">
        <w:rPr>
          <w:rFonts w:ascii="Times New Roman" w:hAnsi="Times New Roman"/>
          <w:sz w:val="24"/>
          <w:szCs w:val="24"/>
        </w:rPr>
        <w:t>B/01.6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71B28">
        <w:rPr>
          <w:rFonts w:ascii="Times New Roman" w:hAnsi="Times New Roman"/>
          <w:sz w:val="24"/>
          <w:szCs w:val="24"/>
        </w:rPr>
        <w:t>B/0</w:t>
      </w:r>
      <w:r>
        <w:rPr>
          <w:rFonts w:ascii="Times New Roman" w:hAnsi="Times New Roman"/>
          <w:sz w:val="24"/>
          <w:szCs w:val="24"/>
        </w:rPr>
        <w:t>2</w:t>
      </w:r>
      <w:r w:rsidRPr="00D71B28">
        <w:rPr>
          <w:rFonts w:ascii="Times New Roman" w:hAnsi="Times New Roman"/>
          <w:sz w:val="24"/>
          <w:szCs w:val="24"/>
        </w:rPr>
        <w:t>.6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71B28">
        <w:rPr>
          <w:rFonts w:ascii="Times New Roman" w:hAnsi="Times New Roman"/>
          <w:sz w:val="24"/>
          <w:szCs w:val="24"/>
        </w:rPr>
        <w:t>B/0</w:t>
      </w:r>
      <w:r>
        <w:rPr>
          <w:rFonts w:ascii="Times New Roman" w:hAnsi="Times New Roman"/>
          <w:sz w:val="24"/>
          <w:szCs w:val="24"/>
        </w:rPr>
        <w:t>3</w:t>
      </w:r>
      <w:r w:rsidRPr="00D71B28">
        <w:rPr>
          <w:rFonts w:ascii="Times New Roman" w:hAnsi="Times New Roman"/>
          <w:sz w:val="24"/>
          <w:szCs w:val="24"/>
        </w:rPr>
        <w:t>.6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71B28">
        <w:rPr>
          <w:rFonts w:ascii="Times New Roman" w:hAnsi="Times New Roman"/>
          <w:sz w:val="24"/>
          <w:szCs w:val="24"/>
        </w:rPr>
        <w:t>B/0</w:t>
      </w:r>
      <w:r>
        <w:rPr>
          <w:rFonts w:ascii="Times New Roman" w:hAnsi="Times New Roman"/>
          <w:sz w:val="24"/>
          <w:szCs w:val="24"/>
        </w:rPr>
        <w:t>4</w:t>
      </w:r>
      <w:r w:rsidRPr="00D71B28">
        <w:rPr>
          <w:rFonts w:ascii="Times New Roman" w:hAnsi="Times New Roman"/>
          <w:sz w:val="24"/>
          <w:szCs w:val="24"/>
        </w:rPr>
        <w:t>.6</w:t>
      </w:r>
      <w:r>
        <w:rPr>
          <w:rFonts w:ascii="Times New Roman" w:hAnsi="Times New Roman"/>
          <w:sz w:val="24"/>
          <w:szCs w:val="24"/>
        </w:rPr>
        <w:t>, С</w:t>
      </w:r>
      <w:r w:rsidRPr="00D71B28">
        <w:rPr>
          <w:rFonts w:ascii="Times New Roman" w:hAnsi="Times New Roman"/>
          <w:sz w:val="24"/>
          <w:szCs w:val="24"/>
        </w:rPr>
        <w:t>/0</w:t>
      </w:r>
      <w:r>
        <w:rPr>
          <w:rFonts w:ascii="Times New Roman" w:hAnsi="Times New Roman"/>
          <w:sz w:val="24"/>
          <w:szCs w:val="24"/>
        </w:rPr>
        <w:t>1</w:t>
      </w:r>
      <w:r w:rsidRPr="00D71B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7, С</w:t>
      </w:r>
      <w:r w:rsidRPr="00D71B28">
        <w:rPr>
          <w:rFonts w:ascii="Times New Roman" w:hAnsi="Times New Roman"/>
          <w:sz w:val="24"/>
          <w:szCs w:val="24"/>
        </w:rPr>
        <w:t>/0</w:t>
      </w:r>
      <w:r>
        <w:rPr>
          <w:rFonts w:ascii="Times New Roman" w:hAnsi="Times New Roman"/>
          <w:sz w:val="24"/>
          <w:szCs w:val="24"/>
        </w:rPr>
        <w:t>2</w:t>
      </w:r>
      <w:r w:rsidRPr="00D71B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7.</w:t>
      </w:r>
    </w:p>
    <w:p w:rsidR="001977A2" w:rsidRDefault="001977A2" w:rsidP="001977A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1977A2" w:rsidRPr="00B23C85" w:rsidRDefault="001977A2" w:rsidP="001977A2">
      <w:pPr>
        <w:pStyle w:val="a3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62549756"/>
      <w:r w:rsidRPr="00B23C85">
        <w:rPr>
          <w:rFonts w:ascii="Times New Roman" w:hAnsi="Times New Roman"/>
          <w:b/>
          <w:bCs/>
          <w:sz w:val="24"/>
          <w:szCs w:val="24"/>
        </w:rPr>
        <w:t xml:space="preserve">Бухгалтерский учет и бюджетная классификация в 2022. </w:t>
      </w:r>
    </w:p>
    <w:p w:rsidR="001977A2" w:rsidRPr="00D60775" w:rsidRDefault="001977A2" w:rsidP="001977A2">
      <w:pPr>
        <w:pStyle w:val="a3"/>
        <w:numPr>
          <w:ilvl w:val="1"/>
          <w:numId w:val="28"/>
        </w:numPr>
        <w:spacing w:after="16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bookmarkStart w:id="1" w:name="_Hlk61447483"/>
      <w:r w:rsidRPr="00D60775">
        <w:rPr>
          <w:rFonts w:ascii="Times New Roman" w:hAnsi="Times New Roman"/>
          <w:sz w:val="24"/>
          <w:szCs w:val="24"/>
        </w:rPr>
        <w:t>Бюджетная классификация в 202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Pr="00D60775">
        <w:rPr>
          <w:rFonts w:ascii="Times New Roman" w:hAnsi="Times New Roman"/>
          <w:sz w:val="24"/>
          <w:szCs w:val="24"/>
        </w:rPr>
        <w:t xml:space="preserve"> году: </w:t>
      </w:r>
    </w:p>
    <w:p w:rsidR="001977A2" w:rsidRPr="00FF3D84" w:rsidRDefault="001977A2" w:rsidP="001977A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60775">
        <w:rPr>
          <w:rFonts w:ascii="Times New Roman" w:hAnsi="Times New Roman"/>
          <w:sz w:val="24"/>
          <w:szCs w:val="24"/>
        </w:rPr>
        <w:t xml:space="preserve">Порядок формирования и применения кодов бюджетной классификации Российской Федерации в соответствии с Приказом Минфина России от 06.06.2019 N 85н с учетом изменений НПА: </w:t>
      </w:r>
      <w:r w:rsidRPr="006816E6">
        <w:rPr>
          <w:rFonts w:ascii="Times New Roman" w:hAnsi="Times New Roman"/>
          <w:sz w:val="24"/>
          <w:szCs w:val="24"/>
        </w:rPr>
        <w:t>в редакции Приказов от 11.06.2021 № 78н, от 29.07.2021 № 105н</w:t>
      </w:r>
      <w:r w:rsidRPr="00FF3D84">
        <w:rPr>
          <w:rFonts w:ascii="Times New Roman" w:hAnsi="Times New Roman"/>
          <w:sz w:val="24"/>
          <w:szCs w:val="24"/>
        </w:rPr>
        <w:t>.</w:t>
      </w:r>
    </w:p>
    <w:p w:rsidR="001977A2" w:rsidRPr="00FF3D84" w:rsidRDefault="001977A2" w:rsidP="001977A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Обновление</w:t>
      </w:r>
      <w:r w:rsidRPr="00D607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D60775">
        <w:rPr>
          <w:rFonts w:ascii="Times New Roman" w:hAnsi="Times New Roman"/>
          <w:sz w:val="24"/>
          <w:szCs w:val="24"/>
        </w:rPr>
        <w:t xml:space="preserve">еречня КБК для федерального бюджета (в соответствии с </w:t>
      </w:r>
      <w:r w:rsidRPr="006816E6">
        <w:rPr>
          <w:rFonts w:ascii="Times New Roman" w:hAnsi="Times New Roman"/>
          <w:sz w:val="24"/>
          <w:szCs w:val="24"/>
        </w:rPr>
        <w:t>Приказом Минфина России от 08.06.2021 № 75н</w:t>
      </w:r>
      <w:r w:rsidRPr="00D6077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D60775">
        <w:rPr>
          <w:rFonts w:ascii="Times New Roman" w:hAnsi="Times New Roman"/>
          <w:sz w:val="24"/>
          <w:szCs w:val="24"/>
        </w:rPr>
        <w:t xml:space="preserve"> </w:t>
      </w:r>
    </w:p>
    <w:p w:rsidR="001977A2" w:rsidRDefault="001977A2" w:rsidP="001977A2">
      <w:pPr>
        <w:pStyle w:val="a3"/>
        <w:numPr>
          <w:ilvl w:val="1"/>
          <w:numId w:val="28"/>
        </w:numPr>
        <w:spacing w:after="16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D60775">
        <w:rPr>
          <w:rFonts w:ascii="Times New Roman" w:hAnsi="Times New Roman"/>
          <w:sz w:val="24"/>
          <w:szCs w:val="24"/>
        </w:rPr>
        <w:t>Обновленная классификация КОСГУ на 202</w:t>
      </w:r>
      <w:r>
        <w:rPr>
          <w:rFonts w:ascii="Times New Roman" w:hAnsi="Times New Roman"/>
          <w:sz w:val="24"/>
          <w:szCs w:val="24"/>
        </w:rPr>
        <w:t>2</w:t>
      </w:r>
      <w:r w:rsidRPr="00D6077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:</w:t>
      </w:r>
      <w:r w:rsidRPr="00D60775">
        <w:rPr>
          <w:rFonts w:ascii="Times New Roman" w:hAnsi="Times New Roman"/>
          <w:sz w:val="24"/>
          <w:szCs w:val="24"/>
        </w:rPr>
        <w:t xml:space="preserve"> </w:t>
      </w:r>
    </w:p>
    <w:p w:rsidR="001977A2" w:rsidRDefault="001977A2" w:rsidP="001977A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60775">
        <w:rPr>
          <w:rFonts w:ascii="Times New Roman" w:hAnsi="Times New Roman"/>
          <w:sz w:val="24"/>
          <w:szCs w:val="24"/>
        </w:rPr>
        <w:t xml:space="preserve">Порядок применения КОСГУ в соответствии с </w:t>
      </w:r>
      <w:r w:rsidRPr="006816E6">
        <w:rPr>
          <w:rFonts w:ascii="Times New Roman" w:hAnsi="Times New Roman"/>
          <w:sz w:val="24"/>
          <w:szCs w:val="24"/>
        </w:rPr>
        <w:t>Приказом Минфина от 24.09.2021 N 133н</w:t>
      </w:r>
      <w:r w:rsidRPr="00FF3D8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977A2" w:rsidRDefault="001977A2" w:rsidP="001977A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и прикладные вопросы кодов КОСГУ</w:t>
      </w:r>
      <w:bookmarkEnd w:id="1"/>
      <w:r>
        <w:rPr>
          <w:rFonts w:ascii="Times New Roman" w:hAnsi="Times New Roman"/>
          <w:sz w:val="24"/>
          <w:szCs w:val="24"/>
        </w:rPr>
        <w:t>.</w:t>
      </w:r>
    </w:p>
    <w:p w:rsidR="001977A2" w:rsidRDefault="001977A2" w:rsidP="001977A2">
      <w:pPr>
        <w:pStyle w:val="a3"/>
        <w:numPr>
          <w:ilvl w:val="1"/>
          <w:numId w:val="28"/>
        </w:numPr>
        <w:spacing w:after="16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Актуальный рабочий план счетов учреждений госсектора. Изменения основных инструкций и рекомендации Минфин:</w:t>
      </w:r>
    </w:p>
    <w:p w:rsidR="001977A2" w:rsidRDefault="001977A2" w:rsidP="001977A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Обзор требований и соответствующих бухгалтерских проводок в связи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изменениям</w:t>
      </w:r>
      <w:proofErr w:type="gramEnd"/>
      <w:r>
        <w:rPr>
          <w:rFonts w:ascii="Times New Roman" w:hAnsi="Times New Roman"/>
          <w:sz w:val="24"/>
          <w:szCs w:val="24"/>
        </w:rPr>
        <w:t xml:space="preserve"> в регламенте учета отдельных хозяйственных операций. </w:t>
      </w:r>
    </w:p>
    <w:p w:rsidR="001977A2" w:rsidRPr="000579FA" w:rsidRDefault="001977A2" w:rsidP="001977A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0579FA">
        <w:rPr>
          <w:rFonts w:ascii="Times New Roman" w:hAnsi="Times New Roman"/>
          <w:sz w:val="24"/>
          <w:szCs w:val="24"/>
        </w:rPr>
        <w:t>Порядок применения счетов в рамках применения СГС «Биологические активы»</w:t>
      </w:r>
      <w:r>
        <w:rPr>
          <w:rFonts w:ascii="Times New Roman" w:hAnsi="Times New Roman"/>
          <w:sz w:val="24"/>
          <w:szCs w:val="24"/>
        </w:rPr>
        <w:t>.</w:t>
      </w:r>
      <w:r w:rsidRPr="000579FA">
        <w:rPr>
          <w:rFonts w:ascii="Times New Roman" w:hAnsi="Times New Roman"/>
          <w:sz w:val="24"/>
          <w:szCs w:val="24"/>
        </w:rPr>
        <w:t xml:space="preserve"> </w:t>
      </w:r>
    </w:p>
    <w:p w:rsidR="001977A2" w:rsidRPr="00615776" w:rsidRDefault="001977A2" w:rsidP="001977A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15776">
        <w:rPr>
          <w:rFonts w:ascii="Times New Roman" w:hAnsi="Times New Roman"/>
          <w:sz w:val="24"/>
          <w:szCs w:val="24"/>
        </w:rPr>
        <w:t xml:space="preserve">Особенности отражения операций по безвозмездной передаче активов в рамках применения СГС «Информация по сегментам» </w:t>
      </w:r>
    </w:p>
    <w:p w:rsidR="001977A2" w:rsidRPr="00615776" w:rsidRDefault="001977A2" w:rsidP="001977A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15776">
        <w:rPr>
          <w:rFonts w:ascii="Times New Roman" w:hAnsi="Times New Roman"/>
          <w:sz w:val="24"/>
          <w:szCs w:val="24"/>
        </w:rPr>
        <w:t>Особенности применения счетов для отражения операций по договорам простого товарищества в соответствии с СГС «Совместная деятельность»</w:t>
      </w:r>
    </w:p>
    <w:p w:rsidR="001977A2" w:rsidRDefault="001977A2" w:rsidP="001977A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к счетам аналитики и порядок их применения. </w:t>
      </w:r>
      <w:r w:rsidRPr="00C00F28">
        <w:rPr>
          <w:rFonts w:ascii="Times New Roman" w:hAnsi="Times New Roman"/>
          <w:sz w:val="24"/>
          <w:szCs w:val="24"/>
        </w:rPr>
        <w:t>Правила аналитического учета на счетах рабочего плана счетов. Аналитика для доходов будущих периодов</w:t>
      </w:r>
      <w:r>
        <w:rPr>
          <w:rFonts w:ascii="Times New Roman" w:hAnsi="Times New Roman"/>
          <w:sz w:val="24"/>
          <w:szCs w:val="24"/>
        </w:rPr>
        <w:t>. Буквенные обозначения для бухгалтерских счетов нематериальных активов.</w:t>
      </w:r>
    </w:p>
    <w:p w:rsidR="001977A2" w:rsidRDefault="001977A2" w:rsidP="001977A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15776">
        <w:rPr>
          <w:rFonts w:ascii="Times New Roman" w:hAnsi="Times New Roman"/>
          <w:sz w:val="24"/>
          <w:szCs w:val="24"/>
        </w:rPr>
        <w:t xml:space="preserve">Обновление регламента бухгалтерского учета для </w:t>
      </w:r>
      <w:proofErr w:type="spellStart"/>
      <w:r w:rsidRPr="00615776">
        <w:rPr>
          <w:rFonts w:ascii="Times New Roman" w:hAnsi="Times New Roman"/>
          <w:sz w:val="24"/>
          <w:szCs w:val="24"/>
        </w:rPr>
        <w:t>забалансовых</w:t>
      </w:r>
      <w:proofErr w:type="spellEnd"/>
      <w:r w:rsidRPr="00615776">
        <w:rPr>
          <w:rFonts w:ascii="Times New Roman" w:hAnsi="Times New Roman"/>
          <w:sz w:val="24"/>
          <w:szCs w:val="24"/>
        </w:rPr>
        <w:t xml:space="preserve"> счетов.</w:t>
      </w:r>
    </w:p>
    <w:p w:rsidR="001977A2" w:rsidRPr="007974CA" w:rsidRDefault="001977A2" w:rsidP="001977A2">
      <w:pPr>
        <w:pStyle w:val="a3"/>
        <w:numPr>
          <w:ilvl w:val="1"/>
          <w:numId w:val="28"/>
        </w:numPr>
        <w:spacing w:after="16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bookmarkStart w:id="2" w:name="_Hlk62549730"/>
      <w:r w:rsidRPr="007974CA">
        <w:rPr>
          <w:rFonts w:ascii="Times New Roman" w:hAnsi="Times New Roman"/>
          <w:sz w:val="24"/>
          <w:szCs w:val="24"/>
        </w:rPr>
        <w:t>Изменения в порядке применения первичных документов и регистров бухучета.</w:t>
      </w:r>
    </w:p>
    <w:p w:rsidR="001977A2" w:rsidRPr="00905573" w:rsidRDefault="001977A2" w:rsidP="001977A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974CA">
        <w:rPr>
          <w:rFonts w:ascii="Times New Roman" w:hAnsi="Times New Roman"/>
          <w:sz w:val="24"/>
          <w:szCs w:val="24"/>
        </w:rPr>
        <w:t>Поправки в </w:t>
      </w:r>
      <w:r w:rsidRPr="00905573">
        <w:rPr>
          <w:rFonts w:ascii="Times New Roman" w:hAnsi="Times New Roman"/>
          <w:sz w:val="24"/>
          <w:szCs w:val="24"/>
        </w:rPr>
        <w:t>Методические указания № 52н</w:t>
      </w:r>
      <w:r>
        <w:rPr>
          <w:rFonts w:ascii="Times New Roman" w:hAnsi="Times New Roman"/>
          <w:sz w:val="24"/>
          <w:szCs w:val="24"/>
        </w:rPr>
        <w:t>,</w:t>
      </w:r>
      <w:r w:rsidRPr="007974CA">
        <w:rPr>
          <w:rFonts w:ascii="Times New Roman" w:hAnsi="Times New Roman"/>
          <w:sz w:val="24"/>
          <w:szCs w:val="24"/>
        </w:rPr>
        <w:t> утвержденные П</w:t>
      </w:r>
      <w:r w:rsidRPr="00905573">
        <w:rPr>
          <w:rFonts w:ascii="Times New Roman" w:hAnsi="Times New Roman"/>
          <w:sz w:val="24"/>
          <w:szCs w:val="24"/>
        </w:rPr>
        <w:t xml:space="preserve">риказом </w:t>
      </w:r>
      <w:r w:rsidRPr="007974CA">
        <w:rPr>
          <w:rFonts w:ascii="Times New Roman" w:hAnsi="Times New Roman"/>
          <w:sz w:val="24"/>
          <w:szCs w:val="24"/>
        </w:rPr>
        <w:t>Минфин</w:t>
      </w:r>
      <w:r w:rsidRPr="00905573">
        <w:rPr>
          <w:rFonts w:ascii="Times New Roman" w:hAnsi="Times New Roman"/>
          <w:sz w:val="24"/>
          <w:szCs w:val="24"/>
        </w:rPr>
        <w:t xml:space="preserve"> от 15.06.2020 № 103н</w:t>
      </w:r>
      <w:r w:rsidRPr="007974CA">
        <w:rPr>
          <w:rFonts w:ascii="Times New Roman" w:hAnsi="Times New Roman"/>
          <w:sz w:val="24"/>
          <w:szCs w:val="24"/>
        </w:rPr>
        <w:t>:</w:t>
      </w:r>
    </w:p>
    <w:p w:rsidR="001977A2" w:rsidRPr="00822E6C" w:rsidRDefault="001977A2" w:rsidP="001977A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05573">
        <w:rPr>
          <w:rFonts w:ascii="Times New Roman" w:hAnsi="Times New Roman"/>
          <w:sz w:val="24"/>
          <w:szCs w:val="24"/>
        </w:rPr>
        <w:t>Обновление бланков действующих форм</w:t>
      </w:r>
      <w:r>
        <w:rPr>
          <w:rFonts w:ascii="Times New Roman" w:hAnsi="Times New Roman"/>
          <w:sz w:val="24"/>
          <w:szCs w:val="24"/>
        </w:rPr>
        <w:t xml:space="preserve"> и унифицированных документов </w:t>
      </w:r>
      <w:r w:rsidRPr="00822E6C">
        <w:rPr>
          <w:rFonts w:ascii="Times New Roman" w:hAnsi="Times New Roman"/>
          <w:sz w:val="24"/>
          <w:szCs w:val="24"/>
        </w:rPr>
        <w:t>и методических указаний по применению отдельных форм.</w:t>
      </w:r>
    </w:p>
    <w:bookmarkEnd w:id="2"/>
    <w:p w:rsidR="001977A2" w:rsidRPr="00905573" w:rsidRDefault="001977A2" w:rsidP="001977A2">
      <w:pPr>
        <w:pStyle w:val="a3"/>
        <w:numPr>
          <w:ilvl w:val="1"/>
          <w:numId w:val="26"/>
        </w:numPr>
        <w:spacing w:after="160" w:line="240" w:lineRule="auto"/>
        <w:ind w:left="426" w:hanging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5573">
        <w:rPr>
          <w:rFonts w:ascii="Times New Roman" w:hAnsi="Times New Roman"/>
          <w:sz w:val="24"/>
          <w:szCs w:val="24"/>
          <w:shd w:val="clear" w:color="auto" w:fill="FFFFFF"/>
        </w:rPr>
        <w:t>Электронный документооборот с применением новых регистров учета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соответствии с </w:t>
      </w:r>
      <w:r w:rsidRPr="000579FA">
        <w:rPr>
          <w:rFonts w:ascii="Times New Roman" w:hAnsi="Times New Roman"/>
          <w:sz w:val="24"/>
          <w:szCs w:val="24"/>
          <w:shd w:val="clear" w:color="auto" w:fill="FFFFFF"/>
        </w:rPr>
        <w:t>Приказом Минфина России от 15.04.2021 № 61н</w:t>
      </w:r>
      <w:r w:rsidRPr="00905573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1977A2" w:rsidRDefault="001977A2" w:rsidP="001977A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и порядок п</w:t>
      </w:r>
      <w:r w:rsidRPr="006C5370">
        <w:rPr>
          <w:rFonts w:ascii="Times New Roman" w:hAnsi="Times New Roman"/>
          <w:sz w:val="24"/>
          <w:szCs w:val="24"/>
        </w:rPr>
        <w:t>рименени</w:t>
      </w:r>
      <w:r>
        <w:rPr>
          <w:rFonts w:ascii="Times New Roman" w:hAnsi="Times New Roman"/>
          <w:sz w:val="24"/>
          <w:szCs w:val="24"/>
        </w:rPr>
        <w:t>я</w:t>
      </w:r>
      <w:r w:rsidRPr="006C5370">
        <w:rPr>
          <w:rFonts w:ascii="Times New Roman" w:hAnsi="Times New Roman"/>
          <w:sz w:val="24"/>
          <w:szCs w:val="24"/>
        </w:rPr>
        <w:t xml:space="preserve"> электронных первичных документов</w:t>
      </w:r>
      <w:r>
        <w:rPr>
          <w:rFonts w:ascii="Times New Roman" w:hAnsi="Times New Roman"/>
          <w:sz w:val="24"/>
          <w:szCs w:val="24"/>
        </w:rPr>
        <w:t>.</w:t>
      </w:r>
    </w:p>
    <w:p w:rsidR="001977A2" w:rsidRPr="00AA3F3B" w:rsidRDefault="001977A2" w:rsidP="001977A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C5370">
        <w:rPr>
          <w:rFonts w:ascii="Times New Roman" w:hAnsi="Times New Roman"/>
          <w:sz w:val="24"/>
          <w:szCs w:val="24"/>
        </w:rPr>
        <w:t>существлени</w:t>
      </w:r>
      <w:r>
        <w:rPr>
          <w:rFonts w:ascii="Times New Roman" w:hAnsi="Times New Roman"/>
          <w:sz w:val="24"/>
          <w:szCs w:val="24"/>
        </w:rPr>
        <w:t>е</w:t>
      </w:r>
      <w:r w:rsidRPr="006C5370">
        <w:rPr>
          <w:rFonts w:ascii="Times New Roman" w:hAnsi="Times New Roman"/>
          <w:sz w:val="24"/>
          <w:szCs w:val="24"/>
        </w:rPr>
        <w:t xml:space="preserve"> централизуемых полномочий</w:t>
      </w:r>
      <w:r>
        <w:rPr>
          <w:rFonts w:ascii="Times New Roman" w:hAnsi="Times New Roman"/>
          <w:sz w:val="24"/>
          <w:szCs w:val="24"/>
        </w:rPr>
        <w:t xml:space="preserve"> и э</w:t>
      </w:r>
      <w:r w:rsidRPr="00822E6C">
        <w:rPr>
          <w:rFonts w:ascii="Times New Roman" w:hAnsi="Times New Roman"/>
          <w:sz w:val="24"/>
          <w:szCs w:val="24"/>
          <w:shd w:val="clear" w:color="auto" w:fill="FFFFFF"/>
        </w:rPr>
        <w:t>лектронный документооборот в централизованной бухгалтерии</w:t>
      </w:r>
      <w:bookmarkEnd w:id="0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977A2" w:rsidRPr="00D60775" w:rsidRDefault="001977A2" w:rsidP="00197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77A2" w:rsidRPr="00D60775" w:rsidRDefault="001977A2" w:rsidP="001977A2">
      <w:pPr>
        <w:pStyle w:val="a3"/>
        <w:numPr>
          <w:ilvl w:val="0"/>
          <w:numId w:val="3"/>
        </w:numPr>
        <w:spacing w:after="16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60775">
        <w:rPr>
          <w:rFonts w:ascii="Times New Roman" w:hAnsi="Times New Roman"/>
          <w:b/>
          <w:bCs/>
          <w:sz w:val="24"/>
          <w:szCs w:val="24"/>
        </w:rPr>
        <w:t xml:space="preserve">Отчетность </w:t>
      </w:r>
      <w:r>
        <w:rPr>
          <w:rFonts w:ascii="Times New Roman" w:hAnsi="Times New Roman"/>
          <w:b/>
          <w:bCs/>
          <w:sz w:val="24"/>
          <w:szCs w:val="24"/>
        </w:rPr>
        <w:t>учреждений госсектора</w:t>
      </w:r>
      <w:r w:rsidRPr="00D60775">
        <w:rPr>
          <w:rFonts w:ascii="Times New Roman" w:hAnsi="Times New Roman"/>
          <w:b/>
          <w:bCs/>
          <w:sz w:val="24"/>
          <w:szCs w:val="24"/>
        </w:rPr>
        <w:t xml:space="preserve"> и порядок применения ФСБУ «Бюджетная информация в бухгалтерской отчетности».</w:t>
      </w:r>
    </w:p>
    <w:p w:rsidR="001977A2" w:rsidRPr="0074540A" w:rsidRDefault="001977A2" w:rsidP="001977A2">
      <w:pPr>
        <w:pStyle w:val="a3"/>
        <w:numPr>
          <w:ilvl w:val="0"/>
          <w:numId w:val="2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4540A">
        <w:rPr>
          <w:rFonts w:ascii="Times New Roman" w:hAnsi="Times New Roman"/>
          <w:sz w:val="24"/>
          <w:szCs w:val="24"/>
        </w:rPr>
        <w:t>Состав и общий порядок составления отчетности в соответствии с обновленными Инструкциями № 33н и 191н Состав бюджетной информации в отчетности. Требования и условия представления бюджетной информации.</w:t>
      </w:r>
    </w:p>
    <w:p w:rsidR="001977A2" w:rsidRPr="00D12CB7" w:rsidRDefault="001977A2" w:rsidP="001977A2">
      <w:pPr>
        <w:pStyle w:val="a3"/>
        <w:numPr>
          <w:ilvl w:val="0"/>
          <w:numId w:val="2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 xml:space="preserve">Операции </w:t>
      </w:r>
      <w:proofErr w:type="spellStart"/>
      <w:r w:rsidRPr="00D12CB7">
        <w:rPr>
          <w:rFonts w:ascii="Times New Roman" w:hAnsi="Times New Roman"/>
          <w:sz w:val="24"/>
          <w:szCs w:val="24"/>
        </w:rPr>
        <w:t>межотчетного</w:t>
      </w:r>
      <w:proofErr w:type="spellEnd"/>
      <w:r w:rsidRPr="00D12CB7">
        <w:rPr>
          <w:rFonts w:ascii="Times New Roman" w:hAnsi="Times New Roman"/>
          <w:sz w:val="24"/>
          <w:szCs w:val="24"/>
        </w:rPr>
        <w:t xml:space="preserve"> периода. Проверка достоверности информации в учете в части применения переходных положений СГС и прочего.</w:t>
      </w:r>
      <w:r>
        <w:rPr>
          <w:rFonts w:ascii="Times New Roman" w:hAnsi="Times New Roman"/>
          <w:sz w:val="24"/>
          <w:szCs w:val="24"/>
        </w:rPr>
        <w:t xml:space="preserve"> Исправление ошибок в учете и отчетности. Порядок исправления ошибок и прикладные вопросы подготовки к формированию отчетности.</w:t>
      </w:r>
    </w:p>
    <w:p w:rsidR="001977A2" w:rsidRPr="00D12CB7" w:rsidRDefault="001977A2" w:rsidP="001977A2">
      <w:pPr>
        <w:pStyle w:val="a3"/>
        <w:numPr>
          <w:ilvl w:val="0"/>
          <w:numId w:val="2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t>Новые требования формировани</w:t>
      </w:r>
      <w:r w:rsidRPr="00D60775">
        <w:rPr>
          <w:rFonts w:ascii="Times New Roman" w:hAnsi="Times New Roman"/>
          <w:sz w:val="24"/>
          <w:szCs w:val="24"/>
          <w:shd w:val="clear" w:color="auto" w:fill="FFFFFF"/>
        </w:rPr>
        <w:t xml:space="preserve">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отдельных форм отчетности</w:t>
      </w:r>
      <w:r w:rsidRPr="00D12CB7">
        <w:rPr>
          <w:rFonts w:ascii="Times New Roman" w:hAnsi="Times New Roman"/>
          <w:sz w:val="24"/>
          <w:szCs w:val="24"/>
        </w:rPr>
        <w:t>.</w:t>
      </w:r>
    </w:p>
    <w:p w:rsidR="001977A2" w:rsidRPr="00B02224" w:rsidRDefault="001977A2" w:rsidP="001977A2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12CB7">
        <w:rPr>
          <w:rFonts w:ascii="Times New Roman" w:hAnsi="Times New Roman"/>
          <w:sz w:val="24"/>
          <w:szCs w:val="24"/>
        </w:rPr>
        <w:lastRenderedPageBreak/>
        <w:t xml:space="preserve">Сложные вопросы составления отчетности </w:t>
      </w:r>
      <w:r>
        <w:rPr>
          <w:rFonts w:ascii="Times New Roman" w:hAnsi="Times New Roman"/>
          <w:sz w:val="24"/>
          <w:szCs w:val="24"/>
        </w:rPr>
        <w:t>и</w:t>
      </w:r>
      <w:r w:rsidRPr="00D12CB7">
        <w:rPr>
          <w:rFonts w:ascii="Times New Roman" w:hAnsi="Times New Roman"/>
          <w:sz w:val="24"/>
          <w:szCs w:val="24"/>
        </w:rPr>
        <w:t xml:space="preserve"> показатели, вводимые вручную</w:t>
      </w:r>
      <w:r w:rsidRPr="00C774E6">
        <w:rPr>
          <w:rFonts w:ascii="Times New Roman" w:hAnsi="Times New Roman"/>
          <w:sz w:val="24"/>
          <w:szCs w:val="24"/>
        </w:rPr>
        <w:t>.</w:t>
      </w:r>
    </w:p>
    <w:p w:rsidR="001977A2" w:rsidRDefault="001977A2" w:rsidP="001977A2">
      <w:pPr>
        <w:pStyle w:val="a3"/>
        <w:numPr>
          <w:ilvl w:val="0"/>
          <w:numId w:val="24"/>
        </w:numPr>
        <w:spacing w:after="160"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71B9E">
        <w:rPr>
          <w:rFonts w:ascii="Times New Roman" w:hAnsi="Times New Roman"/>
          <w:b/>
          <w:bCs/>
          <w:sz w:val="24"/>
          <w:szCs w:val="24"/>
        </w:rPr>
        <w:t>Обновленные правила учета основных средств и материальных запасов. Изменения СГС «Основные средства» и СГС «Аренда».</w:t>
      </w:r>
    </w:p>
    <w:p w:rsidR="001977A2" w:rsidRPr="00B02224" w:rsidRDefault="001977A2" w:rsidP="001977A2">
      <w:pPr>
        <w:pStyle w:val="a3"/>
        <w:numPr>
          <w:ilvl w:val="0"/>
          <w:numId w:val="2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</w:t>
      </w:r>
      <w:r w:rsidRPr="00B02224">
        <w:rPr>
          <w:rFonts w:ascii="Times New Roman" w:hAnsi="Times New Roman"/>
          <w:sz w:val="24"/>
          <w:szCs w:val="24"/>
        </w:rPr>
        <w:t xml:space="preserve"> восстановления на баланс </w:t>
      </w:r>
      <w:r>
        <w:rPr>
          <w:rFonts w:ascii="Times New Roman" w:hAnsi="Times New Roman"/>
          <w:sz w:val="24"/>
          <w:szCs w:val="24"/>
        </w:rPr>
        <w:t>ОС</w:t>
      </w:r>
      <w:r w:rsidRPr="00B02224">
        <w:rPr>
          <w:rFonts w:ascii="Times New Roman" w:hAnsi="Times New Roman"/>
          <w:sz w:val="24"/>
          <w:szCs w:val="24"/>
        </w:rPr>
        <w:t xml:space="preserve"> и материальных запасов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2224">
        <w:rPr>
          <w:rFonts w:ascii="Times New Roman" w:hAnsi="Times New Roman"/>
          <w:sz w:val="24"/>
          <w:szCs w:val="24"/>
        </w:rPr>
        <w:t>(в случае передачи другим учреждениям, при возврате на склад и т. п.)</w:t>
      </w:r>
      <w:r>
        <w:rPr>
          <w:rFonts w:ascii="Times New Roman" w:hAnsi="Times New Roman"/>
          <w:sz w:val="24"/>
          <w:szCs w:val="24"/>
        </w:rPr>
        <w:t>.</w:t>
      </w:r>
      <w:r w:rsidRPr="00B02224">
        <w:rPr>
          <w:rFonts w:ascii="Times New Roman" w:hAnsi="Times New Roman"/>
          <w:sz w:val="24"/>
          <w:szCs w:val="24"/>
        </w:rPr>
        <w:t xml:space="preserve"> </w:t>
      </w:r>
    </w:p>
    <w:p w:rsidR="001977A2" w:rsidRPr="00B02224" w:rsidRDefault="001977A2" w:rsidP="001977A2">
      <w:pPr>
        <w:pStyle w:val="a3"/>
        <w:numPr>
          <w:ilvl w:val="0"/>
          <w:numId w:val="2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02224">
        <w:rPr>
          <w:rFonts w:ascii="Times New Roman" w:hAnsi="Times New Roman"/>
          <w:sz w:val="24"/>
          <w:szCs w:val="24"/>
        </w:rPr>
        <w:t>Новые случаи переоценки имущества</w:t>
      </w:r>
      <w:r>
        <w:rPr>
          <w:rFonts w:ascii="Times New Roman" w:hAnsi="Times New Roman"/>
          <w:sz w:val="24"/>
          <w:szCs w:val="24"/>
        </w:rPr>
        <w:t>. Особенности операций</w:t>
      </w:r>
      <w:r w:rsidRPr="00B02224">
        <w:rPr>
          <w:rFonts w:ascii="Times New Roman" w:hAnsi="Times New Roman"/>
          <w:sz w:val="24"/>
          <w:szCs w:val="24"/>
        </w:rPr>
        <w:t xml:space="preserve"> при отчуждении не в пользу организаций бюджетной сферы</w:t>
      </w:r>
      <w:r>
        <w:rPr>
          <w:rFonts w:ascii="Times New Roman" w:hAnsi="Times New Roman"/>
          <w:sz w:val="24"/>
          <w:szCs w:val="24"/>
        </w:rPr>
        <w:t>.</w:t>
      </w:r>
      <w:r w:rsidRPr="00B02224">
        <w:rPr>
          <w:rFonts w:ascii="Times New Roman" w:hAnsi="Times New Roman"/>
          <w:sz w:val="24"/>
          <w:szCs w:val="24"/>
        </w:rPr>
        <w:t xml:space="preserve"> </w:t>
      </w:r>
    </w:p>
    <w:p w:rsidR="001977A2" w:rsidRPr="00B02224" w:rsidRDefault="001977A2" w:rsidP="001977A2">
      <w:pPr>
        <w:pStyle w:val="a3"/>
        <w:numPr>
          <w:ilvl w:val="0"/>
          <w:numId w:val="2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02224">
        <w:rPr>
          <w:rFonts w:ascii="Times New Roman" w:hAnsi="Times New Roman"/>
          <w:sz w:val="24"/>
          <w:szCs w:val="24"/>
        </w:rPr>
        <w:t>Особенности безвозмездной передачи имущества бюджетными и автономными учреждениями</w:t>
      </w:r>
      <w:r>
        <w:rPr>
          <w:rFonts w:ascii="Times New Roman" w:hAnsi="Times New Roman"/>
          <w:sz w:val="24"/>
          <w:szCs w:val="24"/>
        </w:rPr>
        <w:t>.</w:t>
      </w:r>
      <w:r w:rsidRPr="00B02224">
        <w:rPr>
          <w:rFonts w:ascii="Times New Roman" w:hAnsi="Times New Roman"/>
          <w:sz w:val="24"/>
          <w:szCs w:val="24"/>
        </w:rPr>
        <w:t xml:space="preserve"> </w:t>
      </w:r>
    </w:p>
    <w:p w:rsidR="001977A2" w:rsidRDefault="001977A2" w:rsidP="001977A2">
      <w:pPr>
        <w:pStyle w:val="a3"/>
        <w:numPr>
          <w:ilvl w:val="0"/>
          <w:numId w:val="2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02224">
        <w:rPr>
          <w:rFonts w:ascii="Times New Roman" w:hAnsi="Times New Roman"/>
          <w:sz w:val="24"/>
          <w:szCs w:val="24"/>
        </w:rPr>
        <w:t>Разделение капитальных вложений в случае получения общей суммы вложений при строительстве имущественного комплекса</w:t>
      </w:r>
      <w:r>
        <w:rPr>
          <w:rFonts w:ascii="Times New Roman" w:hAnsi="Times New Roman"/>
          <w:sz w:val="24"/>
          <w:szCs w:val="24"/>
        </w:rPr>
        <w:t>.</w:t>
      </w:r>
      <w:r w:rsidRPr="00B02224">
        <w:rPr>
          <w:rFonts w:ascii="Times New Roman" w:hAnsi="Times New Roman"/>
          <w:sz w:val="24"/>
          <w:szCs w:val="24"/>
        </w:rPr>
        <w:t xml:space="preserve"> </w:t>
      </w:r>
    </w:p>
    <w:p w:rsidR="001977A2" w:rsidRPr="00644A15" w:rsidRDefault="001977A2" w:rsidP="001977A2">
      <w:pPr>
        <w:pStyle w:val="a3"/>
        <w:numPr>
          <w:ilvl w:val="0"/>
          <w:numId w:val="2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операций с имуществом учреждения при ремонте и модернизации. Новации </w:t>
      </w:r>
      <w:proofErr w:type="gramStart"/>
      <w:r>
        <w:rPr>
          <w:rFonts w:ascii="Times New Roman" w:hAnsi="Times New Roman"/>
          <w:sz w:val="24"/>
          <w:szCs w:val="24"/>
        </w:rPr>
        <w:t>механизма замещения части стоимости ОС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977A2" w:rsidRPr="004447BF" w:rsidRDefault="001977A2" w:rsidP="001977A2">
      <w:pPr>
        <w:pStyle w:val="a3"/>
        <w:numPr>
          <w:ilvl w:val="0"/>
          <w:numId w:val="24"/>
        </w:numPr>
        <w:spacing w:after="160"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СГС 2021 года. </w:t>
      </w:r>
      <w:r w:rsidRPr="00905573">
        <w:rPr>
          <w:rFonts w:ascii="Times New Roman" w:hAnsi="Times New Roman"/>
          <w:b/>
          <w:bCs/>
          <w:sz w:val="24"/>
          <w:szCs w:val="24"/>
        </w:rPr>
        <w:t xml:space="preserve">СГС «Нематериальные активы». </w:t>
      </w:r>
      <w:r w:rsidRPr="004447BF">
        <w:rPr>
          <w:rFonts w:ascii="Times New Roman" w:hAnsi="Times New Roman"/>
          <w:b/>
          <w:bCs/>
          <w:sz w:val="24"/>
          <w:szCs w:val="24"/>
        </w:rPr>
        <w:t xml:space="preserve">Порядок учета нематериальных активов и прав пользования. </w:t>
      </w:r>
    </w:p>
    <w:p w:rsidR="001977A2" w:rsidRPr="00905573" w:rsidRDefault="001977A2" w:rsidP="001977A2">
      <w:pPr>
        <w:pStyle w:val="a3"/>
        <w:numPr>
          <w:ilvl w:val="1"/>
          <w:numId w:val="26"/>
        </w:numPr>
        <w:spacing w:after="160" w:line="240" w:lineRule="auto"/>
        <w:ind w:left="426" w:hanging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5573">
        <w:rPr>
          <w:rFonts w:ascii="Times New Roman" w:hAnsi="Times New Roman"/>
          <w:sz w:val="24"/>
          <w:szCs w:val="24"/>
          <w:shd w:val="clear" w:color="auto" w:fill="FFFFFF"/>
        </w:rPr>
        <w:t>Обзор НПА регулирующих хозяйственные операции и бухгалтерский учет нематериальных активов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BA0F5A">
        <w:rPr>
          <w:rFonts w:ascii="Times New Roman" w:hAnsi="Times New Roman"/>
          <w:sz w:val="24"/>
          <w:szCs w:val="24"/>
          <w:shd w:val="clear" w:color="auto" w:fill="FFFFFF"/>
        </w:rPr>
        <w:t xml:space="preserve"> Пояснения Минфин от 02.04.2021 № 02-07-07/25218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прочие</w:t>
      </w:r>
      <w:r w:rsidRPr="00BA0F5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977A2" w:rsidRPr="00CB292E" w:rsidRDefault="001977A2" w:rsidP="001977A2">
      <w:pPr>
        <w:pStyle w:val="a3"/>
        <w:numPr>
          <w:ilvl w:val="1"/>
          <w:numId w:val="26"/>
        </w:numPr>
        <w:spacing w:after="160" w:line="240" w:lineRule="auto"/>
        <w:ind w:left="426" w:hanging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B292E">
        <w:rPr>
          <w:rFonts w:ascii="Times New Roman" w:hAnsi="Times New Roman"/>
          <w:sz w:val="24"/>
          <w:szCs w:val="24"/>
          <w:shd w:val="clear" w:color="auto" w:fill="FFFFFF"/>
        </w:rPr>
        <w:t xml:space="preserve">Порядок формирования, принятия к учету и списания НМА: </w:t>
      </w:r>
    </w:p>
    <w:p w:rsidR="001977A2" w:rsidRPr="00905573" w:rsidRDefault="001977A2" w:rsidP="001977A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05573">
        <w:rPr>
          <w:rFonts w:ascii="Times New Roman" w:hAnsi="Times New Roman"/>
          <w:sz w:val="24"/>
          <w:szCs w:val="24"/>
        </w:rPr>
        <w:t>Особенности принятия к учету результатов НИР и НИИОКР в составе НМА;</w:t>
      </w:r>
    </w:p>
    <w:p w:rsidR="001977A2" w:rsidRPr="00905573" w:rsidRDefault="001977A2" w:rsidP="001977A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05573">
        <w:rPr>
          <w:rFonts w:ascii="Times New Roman" w:hAnsi="Times New Roman"/>
          <w:sz w:val="24"/>
          <w:szCs w:val="24"/>
        </w:rPr>
        <w:t>Порядок принятия к учету НМА и оценка стоимости в зависимости от вида поступления (при обменных операциях и при необменных операциях);</w:t>
      </w:r>
    </w:p>
    <w:p w:rsidR="001977A2" w:rsidRPr="00905573" w:rsidRDefault="001977A2" w:rsidP="001977A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05573">
        <w:rPr>
          <w:rFonts w:ascii="Times New Roman" w:hAnsi="Times New Roman"/>
          <w:sz w:val="24"/>
          <w:szCs w:val="24"/>
        </w:rPr>
        <w:t>Порядок списания НМА с учета;</w:t>
      </w:r>
    </w:p>
    <w:p w:rsidR="001977A2" w:rsidRPr="00905573" w:rsidRDefault="001977A2" w:rsidP="001977A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05573">
        <w:rPr>
          <w:rFonts w:ascii="Times New Roman" w:hAnsi="Times New Roman"/>
          <w:sz w:val="24"/>
          <w:szCs w:val="24"/>
        </w:rPr>
        <w:t>Особенности учета объектов неисключительных прав на результаты интеллектуальной деятельности с 2021 года.</w:t>
      </w:r>
    </w:p>
    <w:p w:rsidR="001977A2" w:rsidRPr="00905573" w:rsidRDefault="001977A2" w:rsidP="001977A2">
      <w:pPr>
        <w:pStyle w:val="a3"/>
        <w:numPr>
          <w:ilvl w:val="1"/>
          <w:numId w:val="26"/>
        </w:numPr>
        <w:spacing w:after="160" w:line="240" w:lineRule="auto"/>
        <w:ind w:left="426" w:hanging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5573">
        <w:rPr>
          <w:rFonts w:ascii="Times New Roman" w:hAnsi="Times New Roman"/>
          <w:sz w:val="24"/>
          <w:szCs w:val="24"/>
          <w:shd w:val="clear" w:color="auto" w:fill="FFFFFF"/>
        </w:rPr>
        <w:t>Информация об объектах НМА в бухгалтерской отчетности:</w:t>
      </w:r>
    </w:p>
    <w:p w:rsidR="001977A2" w:rsidRPr="00905573" w:rsidRDefault="001977A2" w:rsidP="001977A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05573">
        <w:rPr>
          <w:rFonts w:ascii="Times New Roman" w:hAnsi="Times New Roman"/>
          <w:sz w:val="24"/>
          <w:szCs w:val="24"/>
        </w:rPr>
        <w:t>Порядок раскрытия информации об объектах НМА в бухгалтерской отчетности;</w:t>
      </w:r>
    </w:p>
    <w:p w:rsidR="001977A2" w:rsidRPr="00905573" w:rsidRDefault="001977A2" w:rsidP="001977A2">
      <w:pPr>
        <w:pStyle w:val="a3"/>
        <w:numPr>
          <w:ilvl w:val="1"/>
          <w:numId w:val="26"/>
        </w:numPr>
        <w:spacing w:after="160" w:line="240" w:lineRule="auto"/>
        <w:ind w:left="426" w:hanging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5573">
        <w:rPr>
          <w:rFonts w:ascii="Times New Roman" w:hAnsi="Times New Roman"/>
          <w:sz w:val="24"/>
          <w:szCs w:val="24"/>
          <w:shd w:val="clear" w:color="auto" w:fill="FFFFFF"/>
        </w:rPr>
        <w:t>Первое применение и переходные положения к Федеральному стандарту:</w:t>
      </w:r>
    </w:p>
    <w:p w:rsidR="001977A2" w:rsidRPr="00905573" w:rsidRDefault="001977A2" w:rsidP="001977A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05573">
        <w:rPr>
          <w:rFonts w:ascii="Times New Roman" w:hAnsi="Times New Roman"/>
          <w:sz w:val="24"/>
          <w:szCs w:val="24"/>
        </w:rPr>
        <w:t>Порядок признания объектов нематериальных активов, ранее не признававшихся, а также отражавшихся за балансом;</w:t>
      </w:r>
    </w:p>
    <w:p w:rsidR="001977A2" w:rsidRPr="00905573" w:rsidRDefault="001977A2" w:rsidP="001977A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05573">
        <w:rPr>
          <w:rFonts w:ascii="Times New Roman" w:hAnsi="Times New Roman"/>
          <w:sz w:val="24"/>
          <w:szCs w:val="24"/>
        </w:rPr>
        <w:t>Требования к процедуре подтверждения соответствия НМА критериям признания актива;</w:t>
      </w:r>
    </w:p>
    <w:p w:rsidR="001977A2" w:rsidRDefault="001977A2" w:rsidP="001977A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05573">
        <w:rPr>
          <w:rFonts w:ascii="Times New Roman" w:hAnsi="Times New Roman"/>
          <w:sz w:val="24"/>
          <w:szCs w:val="24"/>
        </w:rPr>
        <w:t xml:space="preserve">Порядок восстановление объектов НМА на балансе в </w:t>
      </w:r>
      <w:proofErr w:type="spellStart"/>
      <w:r w:rsidRPr="00905573">
        <w:rPr>
          <w:rFonts w:ascii="Times New Roman" w:hAnsi="Times New Roman"/>
          <w:sz w:val="24"/>
          <w:szCs w:val="24"/>
        </w:rPr>
        <w:t>межотчетный</w:t>
      </w:r>
      <w:proofErr w:type="spellEnd"/>
      <w:r w:rsidRPr="00905573">
        <w:rPr>
          <w:rFonts w:ascii="Times New Roman" w:hAnsi="Times New Roman"/>
          <w:sz w:val="24"/>
          <w:szCs w:val="24"/>
        </w:rPr>
        <w:t xml:space="preserve"> период.</w:t>
      </w:r>
    </w:p>
    <w:p w:rsidR="001977A2" w:rsidRPr="00B23C85" w:rsidRDefault="001977A2" w:rsidP="001977A2">
      <w:pPr>
        <w:pStyle w:val="a3"/>
        <w:numPr>
          <w:ilvl w:val="0"/>
          <w:numId w:val="24"/>
        </w:numPr>
        <w:spacing w:after="160"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23C85">
        <w:rPr>
          <w:rFonts w:ascii="Times New Roman" w:hAnsi="Times New Roman"/>
          <w:b/>
          <w:bCs/>
          <w:sz w:val="24"/>
          <w:szCs w:val="24"/>
        </w:rPr>
        <w:t xml:space="preserve">СГС 2022. Применение Федеральных стандартов в 2022 году. </w:t>
      </w:r>
    </w:p>
    <w:p w:rsidR="001977A2" w:rsidRPr="00B23C85" w:rsidRDefault="001977A2" w:rsidP="001977A2">
      <w:pPr>
        <w:pStyle w:val="a3"/>
        <w:numPr>
          <w:ilvl w:val="1"/>
          <w:numId w:val="26"/>
        </w:numPr>
        <w:spacing w:after="160" w:line="240" w:lineRule="auto"/>
        <w:ind w:left="426" w:hanging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23C85">
        <w:rPr>
          <w:rFonts w:ascii="Times New Roman" w:hAnsi="Times New Roman"/>
          <w:sz w:val="24"/>
          <w:szCs w:val="24"/>
          <w:shd w:val="clear" w:color="auto" w:fill="FFFFFF"/>
        </w:rPr>
        <w:t>СГС «Биологические активы» - Приказ Минфина России от 16.12.2020 N 310н и Методические указания (Письмо Минфина России от 29.11.2021 N 02-07-07/96775). Понятие биологических активов и биологической продукции. Особенности оценки первоначальной стоимости биологической продукции, порядок ее реализации и отражения в бюджетном учете</w:t>
      </w:r>
    </w:p>
    <w:p w:rsidR="001977A2" w:rsidRPr="00B23C85" w:rsidRDefault="001977A2" w:rsidP="001977A2">
      <w:pPr>
        <w:pStyle w:val="a3"/>
        <w:numPr>
          <w:ilvl w:val="1"/>
          <w:numId w:val="26"/>
        </w:numPr>
        <w:spacing w:after="160" w:line="240" w:lineRule="auto"/>
        <w:ind w:left="426" w:hanging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23C85">
        <w:rPr>
          <w:rFonts w:ascii="Times New Roman" w:hAnsi="Times New Roman"/>
          <w:sz w:val="24"/>
          <w:szCs w:val="24"/>
          <w:shd w:val="clear" w:color="auto" w:fill="FFFFFF"/>
        </w:rPr>
        <w:t>СГС «Метод долевого участия» - Приказ Минфина России от 30.10.2020 N 254н. Роль акционера (инвестора) при отражении в учете показателей инвестиций по методу долевого участия. Увеличение и уменьшение стоимости инвестиций в случае изменения доли инвестора в прибыли (убытке) объекта инвестирования. Сроки вступления в силу отдельных положений стандарта (2023-2025 гг.)</w:t>
      </w:r>
    </w:p>
    <w:p w:rsidR="001977A2" w:rsidRPr="00B23C85" w:rsidRDefault="001977A2" w:rsidP="001977A2">
      <w:pPr>
        <w:pStyle w:val="a3"/>
        <w:numPr>
          <w:ilvl w:val="1"/>
          <w:numId w:val="26"/>
        </w:numPr>
        <w:spacing w:after="160" w:line="240" w:lineRule="auto"/>
        <w:ind w:left="426" w:hanging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23C85">
        <w:rPr>
          <w:rFonts w:ascii="Times New Roman" w:hAnsi="Times New Roman"/>
          <w:sz w:val="24"/>
          <w:szCs w:val="24"/>
          <w:shd w:val="clear" w:color="auto" w:fill="FFFFFF"/>
        </w:rPr>
        <w:t>СГС «Консолидированная бухгалтерская (финансовая) отчетность» - Приказ Минфина России от 30.10.2020 N 255н. Субъекты консолидированной отчетности. Порядок составления консолидированной отчетности на различных периметрах консолидации</w:t>
      </w:r>
    </w:p>
    <w:p w:rsidR="001977A2" w:rsidRPr="00B23C85" w:rsidRDefault="001977A2" w:rsidP="001977A2">
      <w:pPr>
        <w:pStyle w:val="a3"/>
        <w:numPr>
          <w:ilvl w:val="1"/>
          <w:numId w:val="26"/>
        </w:numPr>
        <w:spacing w:after="160" w:line="240" w:lineRule="auto"/>
        <w:ind w:left="426" w:hanging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23C85">
        <w:rPr>
          <w:rFonts w:ascii="Times New Roman" w:hAnsi="Times New Roman"/>
          <w:sz w:val="24"/>
          <w:szCs w:val="24"/>
          <w:shd w:val="clear" w:color="auto" w:fill="FFFFFF"/>
        </w:rPr>
        <w:t xml:space="preserve">СГС «Сведения о показателях бухгалтерской (финансовой) отчетности по сегментам» - Приказ Минфина России от 29.09.2020 N 223н. Понятие сегмента и особенности их выделения при составлении консолидированной отчетности. Порядок исключения </w:t>
      </w:r>
      <w:r w:rsidRPr="00B23C85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операций по доходам, расходам и передаче активов между сегментами и внутри одного сегмента</w:t>
      </w:r>
    </w:p>
    <w:p w:rsidR="001977A2" w:rsidRPr="00B23C85" w:rsidRDefault="001977A2" w:rsidP="001977A2">
      <w:pPr>
        <w:pStyle w:val="a3"/>
        <w:numPr>
          <w:ilvl w:val="1"/>
          <w:numId w:val="26"/>
        </w:numPr>
        <w:spacing w:after="160" w:line="240" w:lineRule="auto"/>
        <w:ind w:left="426" w:hanging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23C85">
        <w:rPr>
          <w:rFonts w:ascii="Times New Roman" w:hAnsi="Times New Roman"/>
          <w:sz w:val="24"/>
          <w:szCs w:val="24"/>
          <w:shd w:val="clear" w:color="auto" w:fill="FFFFFF"/>
        </w:rPr>
        <w:t>СГС «Бухгалтерская (финансовая) отчетность с учетом инфляции» - Приказ Минфина России от 29.12.2018 N 305н. Особенности составления отчетности в условиях высокой инфляции</w:t>
      </w:r>
    </w:p>
    <w:p w:rsidR="001977A2" w:rsidRPr="00BF7344" w:rsidRDefault="001977A2" w:rsidP="001977A2">
      <w:pPr>
        <w:pStyle w:val="a3"/>
        <w:spacing w:after="1" w:line="22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4447BF" w:rsidRPr="004447BF" w:rsidRDefault="00B47BF1" w:rsidP="00B47BF1">
      <w:pPr>
        <w:pStyle w:val="2"/>
        <w:jc w:val="both"/>
        <w:rPr>
          <w:rFonts w:ascii="Times New Roman" w:hAnsi="Times New Roman"/>
          <w:color w:val="auto"/>
          <w:sz w:val="28"/>
          <w:szCs w:val="28"/>
        </w:rPr>
      </w:pPr>
      <w:r w:rsidRPr="004447BF">
        <w:rPr>
          <w:rFonts w:ascii="Times New Roman" w:hAnsi="Times New Roman"/>
          <w:color w:val="auto"/>
          <w:sz w:val="28"/>
          <w:szCs w:val="28"/>
        </w:rPr>
        <w:t xml:space="preserve">2 день:  </w:t>
      </w:r>
    </w:p>
    <w:p w:rsidR="00B47BF1" w:rsidRPr="004447BF" w:rsidRDefault="008D0B8F" w:rsidP="004447BF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4447BF">
        <w:rPr>
          <w:rFonts w:ascii="Times New Roman" w:hAnsi="Times New Roman"/>
          <w:sz w:val="28"/>
          <w:szCs w:val="28"/>
        </w:rPr>
        <w:t>Особенности формирования учетной политики учреждений на 2022 год (в том числе при централизации учетных процедур).</w:t>
      </w:r>
    </w:p>
    <w:p w:rsidR="00B47BF1" w:rsidRPr="0082207A" w:rsidRDefault="00B47BF1" w:rsidP="00B47BF1">
      <w:pPr>
        <w:spacing w:after="0"/>
        <w:jc w:val="both"/>
      </w:pPr>
    </w:p>
    <w:p w:rsidR="008D0B8F" w:rsidRPr="004447BF" w:rsidRDefault="008D0B8F" w:rsidP="008D0B8F">
      <w:pPr>
        <w:pStyle w:val="a3"/>
        <w:numPr>
          <w:ilvl w:val="0"/>
          <w:numId w:val="30"/>
        </w:num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4447BF">
        <w:rPr>
          <w:rFonts w:ascii="Times New Roman" w:hAnsi="Times New Roman"/>
          <w:b/>
          <w:sz w:val="24"/>
          <w:szCs w:val="24"/>
        </w:rPr>
        <w:t>Место и роль учетной политики в регулировании учета в учреждениях государственного сектора</w:t>
      </w:r>
    </w:p>
    <w:p w:rsidR="008D0B8F" w:rsidRPr="004447BF" w:rsidRDefault="008D0B8F" w:rsidP="008D0B8F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D0B8F" w:rsidRPr="004447BF" w:rsidRDefault="008D0B8F" w:rsidP="008D0B8F">
      <w:pPr>
        <w:pStyle w:val="a3"/>
        <w:numPr>
          <w:ilvl w:val="1"/>
          <w:numId w:val="30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447BF">
        <w:rPr>
          <w:rFonts w:ascii="Times New Roman" w:hAnsi="Times New Roman"/>
          <w:sz w:val="24"/>
          <w:szCs w:val="24"/>
        </w:rPr>
        <w:t>Нормативно-правовая база формирования учетной политики государственного (муниципального) учреждения: требования Федерального закона № 402-ФЗ «О бухгалтерском учете» и СГС «Концептуальные основы бухгалтерского учета и отчетности организаций государственного сектора»</w:t>
      </w:r>
    </w:p>
    <w:p w:rsidR="008D0B8F" w:rsidRPr="004447BF" w:rsidRDefault="008D0B8F" w:rsidP="008D0B8F">
      <w:pPr>
        <w:pStyle w:val="a3"/>
        <w:numPr>
          <w:ilvl w:val="1"/>
          <w:numId w:val="30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447BF">
        <w:rPr>
          <w:rFonts w:ascii="Times New Roman" w:hAnsi="Times New Roman"/>
          <w:sz w:val="24"/>
          <w:szCs w:val="24"/>
        </w:rPr>
        <w:t xml:space="preserve">Организационный и методический раздел учетной политики учреждения; требования к составу и структуре учетной политики </w:t>
      </w:r>
    </w:p>
    <w:p w:rsidR="008D0B8F" w:rsidRPr="004447BF" w:rsidRDefault="008D0B8F" w:rsidP="008D0B8F">
      <w:pPr>
        <w:pStyle w:val="a3"/>
        <w:numPr>
          <w:ilvl w:val="1"/>
          <w:numId w:val="30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447BF">
        <w:rPr>
          <w:rFonts w:ascii="Times New Roman" w:hAnsi="Times New Roman"/>
          <w:sz w:val="24"/>
          <w:szCs w:val="24"/>
        </w:rPr>
        <w:t>СГС «Учетная политика, оценочные значения и ошибки». Общие подходы к формированию и утверждению учетной политики учреждения</w:t>
      </w:r>
    </w:p>
    <w:p w:rsidR="008D0B8F" w:rsidRPr="004447BF" w:rsidRDefault="008D0B8F" w:rsidP="008D0B8F">
      <w:pPr>
        <w:pStyle w:val="a3"/>
        <w:numPr>
          <w:ilvl w:val="1"/>
          <w:numId w:val="30"/>
        </w:numPr>
        <w:spacing w:after="160" w:line="259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447BF">
        <w:rPr>
          <w:rFonts w:ascii="Times New Roman" w:hAnsi="Times New Roman"/>
          <w:b/>
          <w:bCs/>
          <w:sz w:val="24"/>
          <w:szCs w:val="24"/>
          <w:u w:val="single"/>
        </w:rPr>
        <w:t xml:space="preserve">Особенности формирования учетной политики в случае, если учреждение обслуживается в централизованной бухгалтерии </w:t>
      </w:r>
    </w:p>
    <w:p w:rsidR="008D0B8F" w:rsidRPr="004447BF" w:rsidRDefault="008D0B8F" w:rsidP="008D0B8F">
      <w:pPr>
        <w:pStyle w:val="a3"/>
        <w:ind w:left="792"/>
        <w:jc w:val="both"/>
        <w:rPr>
          <w:rFonts w:ascii="Times New Roman" w:hAnsi="Times New Roman"/>
          <w:sz w:val="24"/>
          <w:szCs w:val="24"/>
        </w:rPr>
      </w:pPr>
    </w:p>
    <w:p w:rsidR="008D0B8F" w:rsidRPr="004447BF" w:rsidRDefault="008D0B8F" w:rsidP="008D0B8F">
      <w:pPr>
        <w:pStyle w:val="a3"/>
        <w:numPr>
          <w:ilvl w:val="0"/>
          <w:numId w:val="30"/>
        </w:num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4447BF">
        <w:rPr>
          <w:rFonts w:ascii="Times New Roman" w:hAnsi="Times New Roman"/>
          <w:b/>
          <w:sz w:val="24"/>
          <w:szCs w:val="24"/>
        </w:rPr>
        <w:t xml:space="preserve">Обязательные требования к составу учетной политики </w:t>
      </w:r>
    </w:p>
    <w:p w:rsidR="008D0B8F" w:rsidRPr="00C276EA" w:rsidRDefault="008D0B8F" w:rsidP="008D0B8F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8D0B8F" w:rsidRPr="004447BF" w:rsidRDefault="008D0B8F" w:rsidP="008D0B8F">
      <w:pPr>
        <w:pStyle w:val="a3"/>
        <w:numPr>
          <w:ilvl w:val="1"/>
          <w:numId w:val="30"/>
        </w:numPr>
        <w:spacing w:after="160" w:line="259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447BF">
        <w:rPr>
          <w:rFonts w:ascii="Times New Roman" w:hAnsi="Times New Roman"/>
          <w:sz w:val="24"/>
          <w:szCs w:val="24"/>
        </w:rPr>
        <w:t xml:space="preserve">Первичные (сводные) учетные документы и учетные регистры, в том числе электронные – порядок составления и принятия к учету. Порядок хранения документов. </w:t>
      </w:r>
      <w:r w:rsidRPr="004447BF">
        <w:rPr>
          <w:rFonts w:ascii="Times New Roman" w:hAnsi="Times New Roman"/>
          <w:b/>
          <w:bCs/>
          <w:sz w:val="24"/>
          <w:szCs w:val="24"/>
          <w:u w:val="single"/>
        </w:rPr>
        <w:t>Особенности электронного документооборота в случае ведения учета централизованными бухгалтериями</w:t>
      </w:r>
    </w:p>
    <w:p w:rsidR="008D0B8F" w:rsidRPr="004447BF" w:rsidRDefault="008D0B8F" w:rsidP="008D0B8F">
      <w:pPr>
        <w:pStyle w:val="a3"/>
        <w:numPr>
          <w:ilvl w:val="1"/>
          <w:numId w:val="30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447BF">
        <w:rPr>
          <w:rFonts w:ascii="Times New Roman" w:hAnsi="Times New Roman"/>
          <w:sz w:val="24"/>
          <w:szCs w:val="24"/>
        </w:rPr>
        <w:t>Оформление графика документооборота (</w:t>
      </w:r>
      <w:r w:rsidRPr="004447BF">
        <w:rPr>
          <w:rFonts w:ascii="Times New Roman" w:hAnsi="Times New Roman"/>
          <w:b/>
          <w:bCs/>
          <w:sz w:val="24"/>
          <w:szCs w:val="24"/>
          <w:u w:val="single"/>
        </w:rPr>
        <w:t>в том числе при ведении учета централизованной бухгалтерией</w:t>
      </w:r>
      <w:r w:rsidRPr="004447BF">
        <w:rPr>
          <w:rFonts w:ascii="Times New Roman" w:hAnsi="Times New Roman"/>
          <w:sz w:val="24"/>
          <w:szCs w:val="24"/>
        </w:rPr>
        <w:t>)</w:t>
      </w:r>
    </w:p>
    <w:p w:rsidR="008D0B8F" w:rsidRPr="004447BF" w:rsidRDefault="008D0B8F" w:rsidP="008D0B8F">
      <w:pPr>
        <w:pStyle w:val="a3"/>
        <w:numPr>
          <w:ilvl w:val="1"/>
          <w:numId w:val="30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447BF">
        <w:rPr>
          <w:rFonts w:ascii="Times New Roman" w:hAnsi="Times New Roman"/>
          <w:sz w:val="24"/>
          <w:szCs w:val="24"/>
        </w:rPr>
        <w:t xml:space="preserve">Порядок формирования рабочего плана счетов в учетной политике </w:t>
      </w:r>
    </w:p>
    <w:p w:rsidR="008D0B8F" w:rsidRPr="004447BF" w:rsidRDefault="008D0B8F" w:rsidP="008D0B8F">
      <w:pPr>
        <w:pStyle w:val="a3"/>
        <w:numPr>
          <w:ilvl w:val="1"/>
          <w:numId w:val="30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447BF">
        <w:rPr>
          <w:rFonts w:ascii="Times New Roman" w:hAnsi="Times New Roman"/>
          <w:sz w:val="24"/>
          <w:szCs w:val="24"/>
        </w:rPr>
        <w:t>Оценка имущества и обязательств. Определение справедливой стоимости для различных активов и обязательств в соответствии с Федеральным стандартом «Концептуальные основы бухгалтерского учета и отчетности организаций государственного сектора»</w:t>
      </w:r>
    </w:p>
    <w:p w:rsidR="008D0B8F" w:rsidRPr="004447BF" w:rsidRDefault="008D0B8F" w:rsidP="008D0B8F">
      <w:pPr>
        <w:pStyle w:val="a3"/>
        <w:numPr>
          <w:ilvl w:val="1"/>
          <w:numId w:val="30"/>
        </w:numPr>
        <w:spacing w:after="160" w:line="259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447BF">
        <w:rPr>
          <w:rFonts w:ascii="Times New Roman" w:hAnsi="Times New Roman"/>
          <w:sz w:val="24"/>
          <w:szCs w:val="24"/>
        </w:rPr>
        <w:t xml:space="preserve">Инвентаризация – порядок проведения и отражения результатов. Требования СГС «Обесценение активов» при проведении годовой инвентаризации. Отражение в учетной политике работы с дебиторской и кредиторской задолженностью и порядок их списания по результатам инвентаризации. </w:t>
      </w:r>
      <w:r w:rsidRPr="004447BF">
        <w:rPr>
          <w:rFonts w:ascii="Times New Roman" w:hAnsi="Times New Roman"/>
          <w:b/>
          <w:bCs/>
          <w:sz w:val="24"/>
          <w:szCs w:val="24"/>
          <w:u w:val="single"/>
        </w:rPr>
        <w:t>Роль централизованной бухгалтерии при проведении инвентаризации в обслуживаемых учреждениях</w:t>
      </w:r>
    </w:p>
    <w:p w:rsidR="008D0B8F" w:rsidRPr="004447BF" w:rsidRDefault="008D0B8F" w:rsidP="008D0B8F">
      <w:pPr>
        <w:pStyle w:val="a3"/>
        <w:numPr>
          <w:ilvl w:val="1"/>
          <w:numId w:val="30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447BF">
        <w:rPr>
          <w:rFonts w:ascii="Times New Roman" w:hAnsi="Times New Roman"/>
          <w:sz w:val="24"/>
          <w:szCs w:val="24"/>
        </w:rPr>
        <w:t>Порядок организации внутреннего финансового контроля совершаемых фактов хозяйственной деятельности</w:t>
      </w:r>
    </w:p>
    <w:p w:rsidR="008D0B8F" w:rsidRPr="004447BF" w:rsidRDefault="008D0B8F" w:rsidP="008D0B8F">
      <w:pPr>
        <w:pStyle w:val="a3"/>
        <w:numPr>
          <w:ilvl w:val="1"/>
          <w:numId w:val="30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447BF">
        <w:rPr>
          <w:rFonts w:ascii="Times New Roman" w:hAnsi="Times New Roman"/>
          <w:sz w:val="24"/>
          <w:szCs w:val="24"/>
        </w:rPr>
        <w:t xml:space="preserve">Порядок применения СГС «События после отчетной даты» </w:t>
      </w:r>
    </w:p>
    <w:p w:rsidR="008D0B8F" w:rsidRPr="004447BF" w:rsidRDefault="008D0B8F" w:rsidP="008D0B8F">
      <w:pPr>
        <w:pStyle w:val="a3"/>
        <w:ind w:left="792"/>
        <w:jc w:val="both"/>
        <w:rPr>
          <w:rFonts w:ascii="Times New Roman" w:hAnsi="Times New Roman"/>
          <w:sz w:val="24"/>
          <w:szCs w:val="24"/>
        </w:rPr>
      </w:pPr>
    </w:p>
    <w:p w:rsidR="008D0B8F" w:rsidRPr="004447BF" w:rsidRDefault="008D0B8F" w:rsidP="008D0B8F">
      <w:pPr>
        <w:pStyle w:val="a3"/>
        <w:numPr>
          <w:ilvl w:val="0"/>
          <w:numId w:val="30"/>
        </w:numPr>
        <w:spacing w:after="160"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47BF">
        <w:rPr>
          <w:rFonts w:ascii="Times New Roman" w:hAnsi="Times New Roman"/>
          <w:b/>
          <w:bCs/>
          <w:sz w:val="24"/>
          <w:szCs w:val="24"/>
        </w:rPr>
        <w:t>Формирование методического раздела учетной политики (правила отражения объектов учета «по существу»)</w:t>
      </w:r>
    </w:p>
    <w:p w:rsidR="008D0B8F" w:rsidRPr="004447BF" w:rsidRDefault="008D0B8F" w:rsidP="008D0B8F">
      <w:pPr>
        <w:pStyle w:val="a3"/>
        <w:numPr>
          <w:ilvl w:val="1"/>
          <w:numId w:val="30"/>
        </w:numPr>
        <w:spacing w:after="160" w:line="259" w:lineRule="auto"/>
        <w:ind w:left="993" w:hanging="63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447BF">
        <w:rPr>
          <w:rFonts w:ascii="Times New Roman" w:hAnsi="Times New Roman"/>
          <w:sz w:val="24"/>
          <w:szCs w:val="24"/>
        </w:rPr>
        <w:lastRenderedPageBreak/>
        <w:t xml:space="preserve">Формирование в учетной политике раздела по учету нефинансовых активов с учетом требований Федеральных стандартов. Расширение роли Комиссии по поступлению и выбытию нефинансовых активов: оценка справедливой стоимости активов, порядок определения состава основных средств и материальных запасов. Особенности применения в 2021 году СГС «Нематериальные активы». </w:t>
      </w:r>
      <w:r w:rsidRPr="004447BF">
        <w:rPr>
          <w:rFonts w:ascii="Times New Roman" w:hAnsi="Times New Roman"/>
          <w:b/>
          <w:bCs/>
          <w:sz w:val="24"/>
          <w:szCs w:val="24"/>
          <w:u w:val="single"/>
        </w:rPr>
        <w:t>Порядок работы Комиссии в случае обслуживания в централизованной бухгалтерии</w:t>
      </w:r>
    </w:p>
    <w:p w:rsidR="008D0B8F" w:rsidRPr="004447BF" w:rsidRDefault="008D0B8F" w:rsidP="008D0B8F">
      <w:pPr>
        <w:pStyle w:val="a3"/>
        <w:numPr>
          <w:ilvl w:val="1"/>
          <w:numId w:val="30"/>
        </w:numPr>
        <w:spacing w:after="160" w:line="259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4447BF">
        <w:rPr>
          <w:rFonts w:ascii="Times New Roman" w:hAnsi="Times New Roman"/>
          <w:sz w:val="24"/>
          <w:szCs w:val="24"/>
        </w:rPr>
        <w:t>Особенности учета объектов аренды на счетах 10100 и 11100. Стоимостная оценка объектов, полученных (переданных) в безвозмездное пользование. Требования СГС «Аренда»</w:t>
      </w:r>
    </w:p>
    <w:p w:rsidR="008D0B8F" w:rsidRPr="004447BF" w:rsidRDefault="008D0B8F" w:rsidP="008D0B8F">
      <w:pPr>
        <w:pStyle w:val="a3"/>
        <w:numPr>
          <w:ilvl w:val="1"/>
          <w:numId w:val="30"/>
        </w:numPr>
        <w:spacing w:after="160" w:line="259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4447BF">
        <w:rPr>
          <w:rFonts w:ascii="Times New Roman" w:hAnsi="Times New Roman"/>
          <w:sz w:val="24"/>
          <w:szCs w:val="24"/>
        </w:rPr>
        <w:t xml:space="preserve">Порядок формирования себестоимости работ, услуг в зависимости от отраслевой специфики учреждения и СГС «Запасы». Формирование методики </w:t>
      </w:r>
      <w:proofErr w:type="spellStart"/>
      <w:r w:rsidRPr="004447BF">
        <w:rPr>
          <w:rFonts w:ascii="Times New Roman" w:hAnsi="Times New Roman"/>
          <w:sz w:val="24"/>
          <w:szCs w:val="24"/>
        </w:rPr>
        <w:t>калькулирования</w:t>
      </w:r>
      <w:proofErr w:type="spellEnd"/>
      <w:r w:rsidRPr="004447BF">
        <w:rPr>
          <w:rFonts w:ascii="Times New Roman" w:hAnsi="Times New Roman"/>
          <w:sz w:val="24"/>
          <w:szCs w:val="24"/>
        </w:rPr>
        <w:t xml:space="preserve"> себестоимости в соответствии с нормативными затратами, порядок применения счетов 10900</w:t>
      </w:r>
    </w:p>
    <w:p w:rsidR="008D0B8F" w:rsidRPr="004447BF" w:rsidRDefault="008D0B8F" w:rsidP="008D0B8F">
      <w:pPr>
        <w:pStyle w:val="a3"/>
        <w:numPr>
          <w:ilvl w:val="1"/>
          <w:numId w:val="30"/>
        </w:numPr>
        <w:spacing w:after="160" w:line="259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4447BF">
        <w:rPr>
          <w:rFonts w:ascii="Times New Roman" w:hAnsi="Times New Roman"/>
          <w:sz w:val="24"/>
          <w:szCs w:val="24"/>
        </w:rPr>
        <w:t>Отражение порядка учета безналичных и наличных денежных средств. Особенности учета наличных денежных средств и денежных документов.</w:t>
      </w:r>
    </w:p>
    <w:p w:rsidR="008D0B8F" w:rsidRPr="004447BF" w:rsidRDefault="008D0B8F" w:rsidP="008D0B8F">
      <w:pPr>
        <w:pStyle w:val="a3"/>
        <w:numPr>
          <w:ilvl w:val="1"/>
          <w:numId w:val="30"/>
        </w:numPr>
        <w:spacing w:after="160" w:line="259" w:lineRule="auto"/>
        <w:ind w:left="993" w:hanging="63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447BF">
        <w:rPr>
          <w:rFonts w:ascii="Times New Roman" w:hAnsi="Times New Roman"/>
          <w:sz w:val="24"/>
          <w:szCs w:val="24"/>
        </w:rPr>
        <w:t xml:space="preserve">Порядок расчетов с подотчетными лицами в учреждении. Особенности отражения командировочных расходов в учетной политике; положение о служебных командировках. </w:t>
      </w:r>
      <w:r w:rsidRPr="004447BF">
        <w:rPr>
          <w:rFonts w:ascii="Times New Roman" w:hAnsi="Times New Roman"/>
          <w:b/>
          <w:bCs/>
          <w:sz w:val="24"/>
          <w:szCs w:val="24"/>
          <w:u w:val="single"/>
        </w:rPr>
        <w:t xml:space="preserve">Порядок оформления расчетов с подотчетными лицами в случае обслуживания в централизованной бухгалтерии </w:t>
      </w:r>
    </w:p>
    <w:p w:rsidR="008D0B8F" w:rsidRPr="004447BF" w:rsidRDefault="008D0B8F" w:rsidP="008D0B8F">
      <w:pPr>
        <w:pStyle w:val="a3"/>
        <w:numPr>
          <w:ilvl w:val="1"/>
          <w:numId w:val="30"/>
        </w:numPr>
        <w:spacing w:after="160" w:line="259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4447BF">
        <w:rPr>
          <w:rFonts w:ascii="Times New Roman" w:hAnsi="Times New Roman"/>
          <w:sz w:val="24"/>
          <w:szCs w:val="24"/>
        </w:rPr>
        <w:t>Отдельные вопросы по учету финансовых активов в соответствии с СГС «Финансовые инструменты»</w:t>
      </w:r>
    </w:p>
    <w:p w:rsidR="008D0B8F" w:rsidRPr="004447BF" w:rsidRDefault="008D0B8F" w:rsidP="008D0B8F">
      <w:pPr>
        <w:pStyle w:val="a3"/>
        <w:numPr>
          <w:ilvl w:val="1"/>
          <w:numId w:val="30"/>
        </w:numPr>
        <w:spacing w:after="160" w:line="259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4447BF">
        <w:rPr>
          <w:rFonts w:ascii="Times New Roman" w:hAnsi="Times New Roman"/>
          <w:sz w:val="24"/>
          <w:szCs w:val="24"/>
        </w:rPr>
        <w:t>Порядок детализации доходов и расходов в соответствии с СГС «Доходы». Определение дат признания отдельных видов доходов в бюджетном (бухгалтерском) учете</w:t>
      </w:r>
    </w:p>
    <w:p w:rsidR="008D0B8F" w:rsidRPr="004447BF" w:rsidRDefault="008D0B8F" w:rsidP="008D0B8F">
      <w:pPr>
        <w:pStyle w:val="a3"/>
        <w:numPr>
          <w:ilvl w:val="1"/>
          <w:numId w:val="30"/>
        </w:numPr>
        <w:spacing w:after="160" w:line="259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4447BF">
        <w:rPr>
          <w:rFonts w:ascii="Times New Roman" w:hAnsi="Times New Roman"/>
          <w:sz w:val="24"/>
          <w:szCs w:val="24"/>
        </w:rPr>
        <w:t xml:space="preserve">Порядок резервирования предстоящих расходов с учетом требований СГС «Резервы» и СГС «Выплаты персоналу» </w:t>
      </w:r>
    </w:p>
    <w:p w:rsidR="008D0B8F" w:rsidRPr="004447BF" w:rsidRDefault="008D0B8F" w:rsidP="008D0B8F">
      <w:pPr>
        <w:pStyle w:val="a3"/>
        <w:numPr>
          <w:ilvl w:val="1"/>
          <w:numId w:val="30"/>
        </w:numPr>
        <w:spacing w:after="160" w:line="259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4447BF">
        <w:rPr>
          <w:rFonts w:ascii="Times New Roman" w:hAnsi="Times New Roman"/>
          <w:sz w:val="24"/>
          <w:szCs w:val="24"/>
        </w:rPr>
        <w:t>Порядок санкционирования расходов в соответствии с перечнем документов и требованиям финансовых органов. Требования СГС «Бюджетная информация в отчетности»</w:t>
      </w:r>
    </w:p>
    <w:p w:rsidR="008D0B8F" w:rsidRPr="004447BF" w:rsidRDefault="008D0B8F" w:rsidP="008D0B8F">
      <w:pPr>
        <w:pStyle w:val="a3"/>
        <w:numPr>
          <w:ilvl w:val="1"/>
          <w:numId w:val="30"/>
        </w:numPr>
        <w:spacing w:after="160" w:line="259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4447BF">
        <w:rPr>
          <w:rFonts w:ascii="Times New Roman" w:hAnsi="Times New Roman"/>
          <w:sz w:val="24"/>
          <w:szCs w:val="24"/>
        </w:rPr>
        <w:t xml:space="preserve">Особенности учета и оценки имущества на отдельных </w:t>
      </w:r>
      <w:proofErr w:type="spellStart"/>
      <w:r w:rsidRPr="004447BF">
        <w:rPr>
          <w:rFonts w:ascii="Times New Roman" w:hAnsi="Times New Roman"/>
          <w:sz w:val="24"/>
          <w:szCs w:val="24"/>
        </w:rPr>
        <w:t>забалансовых</w:t>
      </w:r>
      <w:proofErr w:type="spellEnd"/>
      <w:r w:rsidRPr="004447BF">
        <w:rPr>
          <w:rFonts w:ascii="Times New Roman" w:hAnsi="Times New Roman"/>
          <w:sz w:val="24"/>
          <w:szCs w:val="24"/>
        </w:rPr>
        <w:t xml:space="preserve"> счетах</w:t>
      </w:r>
    </w:p>
    <w:p w:rsidR="008D0B8F" w:rsidRPr="004447BF" w:rsidRDefault="008D0B8F" w:rsidP="008D0B8F">
      <w:pPr>
        <w:pStyle w:val="a3"/>
        <w:ind w:left="792"/>
        <w:jc w:val="both"/>
        <w:rPr>
          <w:rFonts w:ascii="Times New Roman" w:hAnsi="Times New Roman"/>
          <w:sz w:val="24"/>
          <w:szCs w:val="24"/>
        </w:rPr>
      </w:pPr>
    </w:p>
    <w:p w:rsidR="008D0B8F" w:rsidRPr="004447BF" w:rsidRDefault="008D0B8F" w:rsidP="008D0B8F">
      <w:pPr>
        <w:pStyle w:val="a3"/>
        <w:numPr>
          <w:ilvl w:val="0"/>
          <w:numId w:val="30"/>
        </w:numPr>
        <w:spacing w:after="160"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47BF">
        <w:rPr>
          <w:rFonts w:ascii="Times New Roman" w:hAnsi="Times New Roman"/>
          <w:b/>
          <w:bCs/>
          <w:sz w:val="24"/>
          <w:szCs w:val="24"/>
        </w:rPr>
        <w:t>Особенности внесения изменений в учетную политику</w:t>
      </w:r>
    </w:p>
    <w:p w:rsidR="008D0B8F" w:rsidRPr="004447BF" w:rsidRDefault="008D0B8F" w:rsidP="008D0B8F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8D0B8F" w:rsidRPr="004447BF" w:rsidRDefault="008D0B8F" w:rsidP="008D0B8F">
      <w:pPr>
        <w:pStyle w:val="a3"/>
        <w:numPr>
          <w:ilvl w:val="1"/>
          <w:numId w:val="30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447BF">
        <w:rPr>
          <w:rFonts w:ascii="Times New Roman" w:hAnsi="Times New Roman"/>
          <w:sz w:val="24"/>
          <w:szCs w:val="24"/>
        </w:rPr>
        <w:t>Что считать и что не считать изменением учетной политики</w:t>
      </w:r>
    </w:p>
    <w:p w:rsidR="008D0B8F" w:rsidRPr="004447BF" w:rsidRDefault="008D0B8F" w:rsidP="008D0B8F">
      <w:pPr>
        <w:pStyle w:val="a3"/>
        <w:numPr>
          <w:ilvl w:val="1"/>
          <w:numId w:val="30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447BF">
        <w:rPr>
          <w:rFonts w:ascii="Times New Roman" w:hAnsi="Times New Roman"/>
          <w:sz w:val="24"/>
          <w:szCs w:val="24"/>
        </w:rPr>
        <w:t xml:space="preserve">Порядок внесения изменений в учетную политику: согласование и утверждение </w:t>
      </w:r>
    </w:p>
    <w:p w:rsidR="008D0B8F" w:rsidRPr="004447BF" w:rsidRDefault="008D0B8F" w:rsidP="008D0B8F">
      <w:pPr>
        <w:pStyle w:val="a3"/>
        <w:numPr>
          <w:ilvl w:val="1"/>
          <w:numId w:val="30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447BF">
        <w:rPr>
          <w:rFonts w:ascii="Times New Roman" w:hAnsi="Times New Roman"/>
          <w:sz w:val="24"/>
          <w:szCs w:val="24"/>
        </w:rPr>
        <w:t>Ретроспективное и перспективное применение измененной учетной политики</w:t>
      </w:r>
    </w:p>
    <w:p w:rsidR="008D0B8F" w:rsidRPr="00C276EA" w:rsidRDefault="008D0B8F" w:rsidP="008D0B8F">
      <w:pPr>
        <w:pStyle w:val="a3"/>
        <w:ind w:left="792"/>
        <w:jc w:val="both"/>
        <w:rPr>
          <w:rFonts w:ascii="Times New Roman" w:hAnsi="Times New Roman"/>
          <w:sz w:val="28"/>
          <w:szCs w:val="28"/>
        </w:rPr>
      </w:pPr>
    </w:p>
    <w:sectPr w:rsidR="008D0B8F" w:rsidRPr="00C276EA" w:rsidSect="00074A9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55pt;height:11.55pt" o:bullet="t">
        <v:imagedata r:id="rId1" o:title="mso40B"/>
      </v:shape>
    </w:pict>
  </w:numPicBullet>
  <w:abstractNum w:abstractNumId="0">
    <w:nsid w:val="01961878"/>
    <w:multiLevelType w:val="hybridMultilevel"/>
    <w:tmpl w:val="B76054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08A4"/>
    <w:multiLevelType w:val="multilevel"/>
    <w:tmpl w:val="A8624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D87A8F"/>
    <w:multiLevelType w:val="multilevel"/>
    <w:tmpl w:val="79A06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F418FF"/>
    <w:multiLevelType w:val="hybridMultilevel"/>
    <w:tmpl w:val="43E2A1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D6511"/>
    <w:multiLevelType w:val="hybridMultilevel"/>
    <w:tmpl w:val="2494A1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70F50"/>
    <w:multiLevelType w:val="hybridMultilevel"/>
    <w:tmpl w:val="4918A60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F1D75"/>
    <w:multiLevelType w:val="hybridMultilevel"/>
    <w:tmpl w:val="8818908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262BE"/>
    <w:multiLevelType w:val="multilevel"/>
    <w:tmpl w:val="9BD60D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520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BA24E08"/>
    <w:multiLevelType w:val="hybridMultilevel"/>
    <w:tmpl w:val="80688CB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075ED6"/>
    <w:multiLevelType w:val="hybridMultilevel"/>
    <w:tmpl w:val="FFB0925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B5A1F"/>
    <w:multiLevelType w:val="multilevel"/>
    <w:tmpl w:val="300CBC9A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46868DB"/>
    <w:multiLevelType w:val="hybridMultilevel"/>
    <w:tmpl w:val="CF2C493C"/>
    <w:lvl w:ilvl="0" w:tplc="04190019">
      <w:start w:val="1"/>
      <w:numFmt w:val="lowerLetter"/>
      <w:lvlText w:val="%1."/>
      <w:lvlJc w:val="left"/>
      <w:pPr>
        <w:ind w:left="15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12">
    <w:nsid w:val="24AB631D"/>
    <w:multiLevelType w:val="multilevel"/>
    <w:tmpl w:val="E244F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DB416CA"/>
    <w:multiLevelType w:val="multilevel"/>
    <w:tmpl w:val="BD46A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PicBulletId w:val="0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0B12340"/>
    <w:multiLevelType w:val="hybridMultilevel"/>
    <w:tmpl w:val="0520E346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24D7FE5"/>
    <w:multiLevelType w:val="hybridMultilevel"/>
    <w:tmpl w:val="AB74183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D2B84"/>
    <w:multiLevelType w:val="hybridMultilevel"/>
    <w:tmpl w:val="2F40F81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924DD"/>
    <w:multiLevelType w:val="hybridMultilevel"/>
    <w:tmpl w:val="BBA42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B2E96"/>
    <w:multiLevelType w:val="hybridMultilevel"/>
    <w:tmpl w:val="03F6514A"/>
    <w:lvl w:ilvl="0" w:tplc="04190001">
      <w:start w:val="1"/>
      <w:numFmt w:val="bullet"/>
      <w:lvlText w:val=""/>
      <w:lvlJc w:val="left"/>
      <w:pPr>
        <w:ind w:left="85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277" w:hanging="360"/>
      </w:pPr>
      <w:rPr>
        <w:rFonts w:ascii="Wingdings" w:hAnsi="Wingdings" w:hint="default"/>
      </w:rPr>
    </w:lvl>
  </w:abstractNum>
  <w:abstractNum w:abstractNumId="19">
    <w:nsid w:val="42F32854"/>
    <w:multiLevelType w:val="hybridMultilevel"/>
    <w:tmpl w:val="AD5E5F3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C75E8"/>
    <w:multiLevelType w:val="hybridMultilevel"/>
    <w:tmpl w:val="36F26F7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66109"/>
    <w:multiLevelType w:val="hybridMultilevel"/>
    <w:tmpl w:val="C2328E8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610FE"/>
    <w:multiLevelType w:val="hybridMultilevel"/>
    <w:tmpl w:val="065C54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F869C6"/>
    <w:multiLevelType w:val="hybridMultilevel"/>
    <w:tmpl w:val="309072D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36E5D"/>
    <w:multiLevelType w:val="hybridMultilevel"/>
    <w:tmpl w:val="5C6ACC2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D54E67"/>
    <w:multiLevelType w:val="hybridMultilevel"/>
    <w:tmpl w:val="F3EC695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7D431D"/>
    <w:multiLevelType w:val="hybridMultilevel"/>
    <w:tmpl w:val="E07A2E6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7C506C2C"/>
    <w:multiLevelType w:val="hybridMultilevel"/>
    <w:tmpl w:val="2164757A"/>
    <w:lvl w:ilvl="0" w:tplc="04190019">
      <w:start w:val="1"/>
      <w:numFmt w:val="lowerLetter"/>
      <w:lvlText w:val="%1."/>
      <w:lvlJc w:val="left"/>
      <w:pPr>
        <w:ind w:left="15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1"/>
  </w:num>
  <w:num w:numId="6">
    <w:abstractNumId w:val="6"/>
  </w:num>
  <w:num w:numId="7">
    <w:abstractNumId w:val="23"/>
  </w:num>
  <w:num w:numId="8">
    <w:abstractNumId w:val="27"/>
  </w:num>
  <w:num w:numId="9">
    <w:abstractNumId w:val="25"/>
  </w:num>
  <w:num w:numId="10">
    <w:abstractNumId w:val="24"/>
  </w:num>
  <w:num w:numId="11">
    <w:abstractNumId w:val="21"/>
  </w:num>
  <w:num w:numId="12">
    <w:abstractNumId w:val="15"/>
  </w:num>
  <w:num w:numId="13">
    <w:abstractNumId w:val="20"/>
  </w:num>
  <w:num w:numId="14">
    <w:abstractNumId w:val="19"/>
  </w:num>
  <w:num w:numId="15">
    <w:abstractNumId w:val="9"/>
  </w:num>
  <w:num w:numId="16">
    <w:abstractNumId w:val="16"/>
  </w:num>
  <w:num w:numId="17">
    <w:abstractNumId w:val="4"/>
  </w:num>
  <w:num w:numId="18">
    <w:abstractNumId w:val="0"/>
  </w:num>
  <w:num w:numId="19">
    <w:abstractNumId w:val="5"/>
  </w:num>
  <w:num w:numId="20">
    <w:abstractNumId w:val="3"/>
  </w:num>
  <w:num w:numId="21">
    <w:abstractNumId w:val="8"/>
  </w:num>
  <w:num w:numId="22">
    <w:abstractNumId w:val="2"/>
  </w:num>
  <w:num w:numId="23">
    <w:abstractNumId w:val="12"/>
  </w:num>
  <w:num w:numId="24">
    <w:abstractNumId w:val="13"/>
  </w:num>
  <w:num w:numId="25">
    <w:abstractNumId w:val="26"/>
  </w:num>
  <w:num w:numId="26">
    <w:abstractNumId w:val="7"/>
  </w:num>
  <w:num w:numId="27">
    <w:abstractNumId w:val="14"/>
  </w:num>
  <w:num w:numId="2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2EA7"/>
    <w:rsid w:val="00026951"/>
    <w:rsid w:val="00074A96"/>
    <w:rsid w:val="000F6E76"/>
    <w:rsid w:val="001977A2"/>
    <w:rsid w:val="00301B16"/>
    <w:rsid w:val="003A0EA6"/>
    <w:rsid w:val="003A0EF2"/>
    <w:rsid w:val="004447BF"/>
    <w:rsid w:val="004F0706"/>
    <w:rsid w:val="0067179F"/>
    <w:rsid w:val="00792EA7"/>
    <w:rsid w:val="007F174C"/>
    <w:rsid w:val="00801564"/>
    <w:rsid w:val="00813032"/>
    <w:rsid w:val="008D0B8F"/>
    <w:rsid w:val="00956B5E"/>
    <w:rsid w:val="00984DC0"/>
    <w:rsid w:val="00B47BF1"/>
    <w:rsid w:val="00D2032E"/>
    <w:rsid w:val="00EA56D3"/>
    <w:rsid w:val="00F3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92EA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01564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E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792EA7"/>
    <w:pPr>
      <w:ind w:left="720"/>
      <w:contextualSpacing/>
    </w:pPr>
    <w:rPr>
      <w:sz w:val="20"/>
      <w:szCs w:val="20"/>
    </w:rPr>
  </w:style>
  <w:style w:type="paragraph" w:customStyle="1" w:styleId="a5">
    <w:basedOn w:val="a"/>
    <w:next w:val="a6"/>
    <w:uiPriority w:val="99"/>
    <w:unhideWhenUsed/>
    <w:rsid w:val="00301B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301B16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301B16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01564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a7">
    <w:name w:val="Strong"/>
    <w:uiPriority w:val="22"/>
    <w:qFormat/>
    <w:rsid w:val="00801564"/>
    <w:rPr>
      <w:b/>
      <w:bCs/>
    </w:rPr>
  </w:style>
  <w:style w:type="character" w:customStyle="1" w:styleId="matches">
    <w:name w:val="matches"/>
    <w:basedOn w:val="a0"/>
    <w:rsid w:val="00801564"/>
  </w:style>
  <w:style w:type="character" w:styleId="a8">
    <w:name w:val="Hyperlink"/>
    <w:uiPriority w:val="99"/>
    <w:unhideWhenUsed/>
    <w:rsid w:val="00801564"/>
    <w:rPr>
      <w:color w:val="0000FF"/>
      <w:u w:val="single"/>
    </w:rPr>
  </w:style>
  <w:style w:type="paragraph" w:customStyle="1" w:styleId="copyright-info">
    <w:name w:val="copyright-info"/>
    <w:basedOn w:val="a"/>
    <w:rsid w:val="00801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еразрешенное упоминание"/>
    <w:uiPriority w:val="99"/>
    <w:semiHidden/>
    <w:unhideWhenUsed/>
    <w:rsid w:val="00801564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01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01564"/>
    <w:rPr>
      <w:rFonts w:ascii="Segoe UI" w:eastAsia="Calibri" w:hAnsi="Segoe UI" w:cs="Segoe UI"/>
      <w:sz w:val="18"/>
      <w:szCs w:val="18"/>
    </w:rPr>
  </w:style>
  <w:style w:type="paragraph" w:styleId="ac">
    <w:name w:val="Document Map"/>
    <w:basedOn w:val="a"/>
    <w:link w:val="ad"/>
    <w:uiPriority w:val="99"/>
    <w:semiHidden/>
    <w:unhideWhenUsed/>
    <w:rsid w:val="003A0EF2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3A0E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9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12843</CharactersWithSpaces>
  <SharedDoc>false</SharedDoc>
  <HLinks>
    <vt:vector size="18" baseType="variant">
      <vt:variant>
        <vt:i4>3539053</vt:i4>
      </vt:variant>
      <vt:variant>
        <vt:i4>6</vt:i4>
      </vt:variant>
      <vt:variant>
        <vt:i4>0</vt:i4>
      </vt:variant>
      <vt:variant>
        <vt:i4>5</vt:i4>
      </vt:variant>
      <vt:variant>
        <vt:lpwstr>http://publication.pravo.gov.ru/Document/View/0001202105060006</vt:lpwstr>
      </vt:variant>
      <vt:variant>
        <vt:lpwstr/>
      </vt:variant>
      <vt:variant>
        <vt:i4>852093</vt:i4>
      </vt:variant>
      <vt:variant>
        <vt:i4>3</vt:i4>
      </vt:variant>
      <vt:variant>
        <vt:i4>0</vt:i4>
      </vt:variant>
      <vt:variant>
        <vt:i4>5</vt:i4>
      </vt:variant>
      <vt:variant>
        <vt:lpwstr>https://bftcom.com/newspictures/5_%D0%A4%D0%B5%D0%B4 %D0%B7%D0%B0%D0%BA%D0%BE%D0%BD %E2%84%96 247-%D0%A4%D0%97_%D0%98%D0%B7%D0%BC %D0%B2 %D0%91%D0%9A %D0%A0%D0%A4_%D0%BE%D1%81%D0%BE%D0%B1%D0%B5%D0%BD %D0%B8%D1%81%D0%BF 2021.pdf</vt:lpwstr>
      </vt:variant>
      <vt:variant>
        <vt:lpwstr/>
      </vt:variant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https://bftcom.com/newspictures/4_%D0%A4%D0%B5%D0%B4 %D0%B7%D0%B0%D0%BA%D0%BE%D0%BD %E2%84%96 246-%D0%A4%D0%97_%D0%98%D0%B7%D0%BC %D0%B2 %D0%91%D0%9A %D0%A0%D0%A4_%D0%9C%D0%91%D0%A2.pdf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Надежда</cp:lastModifiedBy>
  <cp:revision>3</cp:revision>
  <dcterms:created xsi:type="dcterms:W3CDTF">2022-02-03T08:44:00Z</dcterms:created>
  <dcterms:modified xsi:type="dcterms:W3CDTF">2022-02-03T10:00:00Z</dcterms:modified>
</cp:coreProperties>
</file>